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00"/>
          <w:sz w:val="2"/>
        </w:rPr>
      </w:pPr>
      <w:bookmarkStart w:id="0" w:name="sgu-20260630.htm"/>
      <w:bookmarkStart w:id="1" w:name="kssgu20260630"/>
      <w:bookmarkEnd w:id="0"/>
      <w:bookmarkEnd w:id="1"/>
      <w:r>
        <w:rPr>
          <w:rFonts w:ascii="Times New Roman" w:hAnsi="Times New Roman"/>
          <w:color w:val="000000"/>
          <w:sz w:val="2"/>
        </w:rPr>
        <w:t>`</w:t>
      </w:r>
    </w:p>
    <w:p>
      <w:pPr>
        <w:pStyle w:val="TextBody"/>
        <w:pBdr>
          <w:bottom w:val="double" w:sz="4" w:space="1" w:color="000000"/>
        </w:pBdr>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12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June 30, 2026</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001-14129</w:t>
      </w:r>
    </w:p>
    <w:p>
      <w:pPr>
        <w:pStyle w:val="TextBody"/>
        <w:bidi w:val="0"/>
        <w:spacing w:before="120" w:after="283"/>
        <w:jc w:val="center"/>
        <w:rPr>
          <w:rFonts w:ascii="Times New Roman" w:hAnsi="Times New Roman"/>
          <w:sz w:val="20"/>
        </w:rPr>
      </w:pPr>
      <w:r>
        <w:rPr>
          <w:rFonts w:ascii="Times New Roman" w:hAnsi="Times New Roman"/>
          <w:b/>
          <w:color w:val="000000"/>
          <w:sz w:val="40"/>
        </w:rPr>
        <w:t>STAR GROUP, L.P.</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352" w:type="dxa"/>
        <w:jc w:val="left"/>
        <w:tblInd w:w="0" w:type="dxa"/>
        <w:tblLayout w:type="fixed"/>
        <w:tblCellMar>
          <w:top w:w="28" w:type="dxa"/>
          <w:left w:w="28" w:type="dxa"/>
          <w:bottom w:w="28" w:type="dxa"/>
          <w:right w:w="28" w:type="dxa"/>
        </w:tblCellMar>
      </w:tblPr>
      <w:tblGrid>
        <w:gridCol w:w="2866"/>
        <w:gridCol w:w="1486"/>
      </w:tblGrid>
      <w:tr>
        <w:trPr/>
        <w:tc>
          <w:tcPr>
            <w:tcW w:w="28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06-1437793</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 West Broad Street</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Stamford, Connecticut</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06902</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 (203)</w:t>
      </w:r>
      <w:r>
        <w:rPr>
          <w:rFonts w:ascii="Times New Roman" w:hAnsi="Times New Roman"/>
          <w:color w:val="000000"/>
          <w:sz w:val="20"/>
        </w:rPr>
        <w:t xml:space="preserve"> </w:t>
      </w:r>
      <w:r>
        <w:rPr>
          <w:rFonts w:ascii="Times New Roman" w:hAnsi="Times New Roman"/>
          <w:b/>
          <w:color w:val="000000"/>
          <w:sz w:val="16"/>
        </w:rPr>
        <w:t>328-7310</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775" w:type="dxa"/>
        <w:jc w:val="left"/>
        <w:tblInd w:w="0" w:type="dxa"/>
        <w:tblLayout w:type="fixed"/>
        <w:tblCellMar>
          <w:top w:w="28" w:type="dxa"/>
          <w:left w:w="28" w:type="dxa"/>
          <w:bottom w:w="28" w:type="dxa"/>
          <w:right w:w="28" w:type="dxa"/>
        </w:tblCellMar>
      </w:tblPr>
      <w:tblGrid>
        <w:gridCol w:w="2341"/>
        <w:gridCol w:w="146"/>
        <w:gridCol w:w="826"/>
        <w:gridCol w:w="146"/>
        <w:gridCol w:w="331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Units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SGU</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r>
        <w:trPr/>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Unit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tbl>
      <w:tblPr>
        <w:tblW w:w="2709" w:type="dxa"/>
        <w:jc w:val="left"/>
        <w:tblInd w:w="0" w:type="dxa"/>
        <w:tblLayout w:type="fixed"/>
        <w:tblCellMar>
          <w:top w:w="28" w:type="dxa"/>
          <w:left w:w="28" w:type="dxa"/>
          <w:bottom w:w="28" w:type="dxa"/>
          <w:right w:w="28" w:type="dxa"/>
        </w:tblCellMar>
      </w:tblPr>
      <w:tblGrid>
        <w:gridCol w:w="161"/>
        <w:gridCol w:w="146"/>
        <w:gridCol w:w="2041"/>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At July 31, 2026, the registrant had 32,811,216</w:t>
      </w:r>
      <w:r>
        <w:rPr>
          <w:rFonts w:ascii="Times New Roman" w:hAnsi="Times New Roman"/>
          <w:color w:val="000000"/>
          <w:sz w:val="20"/>
        </w:rPr>
        <w:t xml:space="preserve"> </w:t>
      </w:r>
      <w:r>
        <w:rPr>
          <w:rFonts w:ascii="Times New Roman" w:hAnsi="Times New Roman"/>
          <w:color w:val="000000"/>
          <w:sz w:val="18"/>
        </w:rPr>
        <w:t>Common Units outstanding</w:t>
      </w:r>
      <w:r>
        <w:rPr>
          <w:rFonts w:ascii="Times New Roman" w:hAnsi="Times New Roman"/>
          <w:color w:val="000000"/>
          <w:sz w:val="17"/>
        </w:rPr>
        <w:t>.</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STAR GROUP, L.P.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INDEX TO FORM 10-Q</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791"/>
        <w:gridCol w:w="146"/>
        <w:gridCol w:w="1268"/>
      </w:tblGrid>
      <w:tr>
        <w:trPr/>
        <w:tc>
          <w:tcPr>
            <w:tcW w:w="8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8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 Financial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8"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_condensed_consolidated_financial_">
              <w:r>
                <w:rPr>
                  <w:rStyle w:val="InternetLink"/>
                  <w:rFonts w:ascii="Times New Roman" w:hAnsi="Times New Roman"/>
                  <w:color w:val="0000FF"/>
                  <w:sz w:val="20"/>
                  <w:u w:val="single"/>
                </w:rPr>
                <w:t>Item 1 -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8"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balance_sheets">
              <w:r>
                <w:rPr>
                  <w:rStyle w:val="InternetLink"/>
                  <w:rFonts w:ascii="Times New Roman" w:hAnsi="Times New Roman"/>
                  <w:color w:val="0000FF"/>
                  <w:sz w:val="20"/>
                  <w:u w:val="single"/>
                </w:rPr>
                <w:t>Condensed Consolidated Balance Sheets as of June 30, 2026 (unaudited) and September 30, 2025</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operat">
              <w:r>
                <w:rPr>
                  <w:rStyle w:val="InternetLink"/>
                  <w:rFonts w:ascii="Times New Roman" w:hAnsi="Times New Roman"/>
                  <w:color w:val="0000FF"/>
                  <w:sz w:val="20"/>
                  <w:u w:val="single"/>
                </w:rPr>
                <w:t>Condensed Consolidated Statements of Operations (unaudited) for the three and nine months ended June 30, 2026 and June 30, 2025</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compre">
              <w:r>
                <w:rPr>
                  <w:rStyle w:val="InternetLink"/>
                  <w:rFonts w:ascii="Times New Roman" w:hAnsi="Times New Roman"/>
                  <w:color w:val="0000FF"/>
                  <w:sz w:val="20"/>
                  <w:u w:val="single"/>
                </w:rPr>
                <w:t>Condensed Consolidated Statements of Comprehensive Income (Loss) (unaudited) for the three and nine months ended June 30, 2026 and June 30, 2025</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5</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_statemnt_of_partn_ytd">
              <w:r>
                <w:rPr>
                  <w:rStyle w:val="InternetLink"/>
                  <w:rFonts w:ascii="Times New Roman" w:hAnsi="Times New Roman"/>
                  <w:color w:val="0000FF"/>
                  <w:sz w:val="20"/>
                  <w:u w:val="single"/>
                </w:rPr>
                <w:t>Condensed Consolidated Statement of Partners’ Capital (unaudited) for the three and nine months ended June 30, 2026 and June 30, 2025</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6-7</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cash_f">
              <w:r>
                <w:rPr>
                  <w:rStyle w:val="InternetLink"/>
                  <w:rFonts w:ascii="Times New Roman" w:hAnsi="Times New Roman"/>
                  <w:color w:val="0000FF"/>
                  <w:sz w:val="20"/>
                  <w:u w:val="single"/>
                </w:rPr>
                <w:t>Condensed Consolidated Statements of Cash Flows (unaudited) for the nine months ended June 30, 2026 and June 30, 2025</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8</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9-22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2">
              <w:r>
                <w:rPr>
                  <w:rStyle w:val="InternetLink"/>
                  <w:rFonts w:ascii="Times New Roman" w:hAnsi="Times New Roman"/>
                  <w:color w:val="0000FF"/>
                  <w:sz w:val="20"/>
                  <w:u w:val="single"/>
                </w:rPr>
                <w:t>Item 2 -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23-40</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quantitative_and_qualitative_disclosures">
              <w:r>
                <w:rPr>
                  <w:rStyle w:val="InternetLink"/>
                  <w:rFonts w:ascii="Times New Roman" w:hAnsi="Times New Roman"/>
                  <w:color w:val="0000FF"/>
                  <w:sz w:val="20"/>
                  <w:u w:val="single"/>
                </w:rPr>
                <w:t>Item 3 -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41</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trols_procedures">
              <w:r>
                <w:rPr>
                  <w:rStyle w:val="InternetLink"/>
                  <w:rFonts w:ascii="Times New Roman" w:hAnsi="Times New Roman"/>
                  <w:color w:val="0000FF"/>
                  <w:sz w:val="20"/>
                  <w:u w:val="single"/>
                </w:rPr>
                <w:t>Item 4 - Controls and Procedures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41</w:t>
            </w:r>
          </w:p>
        </w:tc>
      </w:tr>
      <w:tr>
        <w:trPr/>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Other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8"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legal_proceedings">
              <w:r>
                <w:rPr>
                  <w:rStyle w:val="InternetLink"/>
                  <w:rFonts w:ascii="Times New Roman" w:hAnsi="Times New Roman"/>
                  <w:color w:val="0000FF"/>
                  <w:sz w:val="20"/>
                  <w:u w:val="single"/>
                </w:rPr>
                <w:t>Item 1 - Legal Proceedings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a">
              <w:r>
                <w:rPr>
                  <w:rStyle w:val="InternetLink"/>
                  <w:rFonts w:ascii="Times New Roman" w:hAnsi="Times New Roman"/>
                  <w:color w:val="0000FF"/>
                  <w:sz w:val="20"/>
                  <w:u w:val="single"/>
                </w:rPr>
                <w:t>Item 1A - Risk Factors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unregistered_sales_equity_securities_use">
              <w:r>
                <w:rPr>
                  <w:rStyle w:val="InternetLink"/>
                  <w:rFonts w:ascii="Times New Roman" w:hAnsi="Times New Roman"/>
                  <w:color w:val="0000FF"/>
                  <w:sz w:val="20"/>
                  <w:u w:val="single"/>
                </w:rPr>
                <w:t>Item 2 - Unregistered Sale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3">
              <w:r>
                <w:rPr>
                  <w:rStyle w:val="InternetLink"/>
                  <w:rFonts w:ascii="Times New Roman" w:hAnsi="Times New Roman"/>
                  <w:color w:val="0000FF"/>
                  <w:sz w:val="20"/>
                  <w:u w:val="single"/>
                </w:rPr>
                <w:t>Item 3 -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4">
              <w:r>
                <w:rPr>
                  <w:rStyle w:val="InternetLink"/>
                  <w:rFonts w:ascii="Times New Roman" w:hAnsi="Times New Roman"/>
                  <w:color w:val="0000FF"/>
                  <w:sz w:val="20"/>
                  <w:u w:val="single"/>
                </w:rPr>
                <w:t>Item 4 - Mine Safety Disclosures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5">
              <w:r>
                <w:rPr>
                  <w:rStyle w:val="InternetLink"/>
                  <w:rFonts w:ascii="Times New Roman" w:hAnsi="Times New Roman"/>
                  <w:color w:val="0000FF"/>
                  <w:sz w:val="20"/>
                  <w:u w:val="single"/>
                </w:rPr>
                <w:t>Item 5 - Other Information</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xhibits">
              <w:r>
                <w:rPr>
                  <w:rStyle w:val="InternetLink"/>
                  <w:rFonts w:ascii="Times New Roman" w:hAnsi="Times New Roman"/>
                  <w:color w:val="0000FF"/>
                  <w:sz w:val="20"/>
                  <w:u w:val="single"/>
                </w:rPr>
                <w:t>Item 6 - Exhibits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43</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44</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condensed_consolidated_financial_"/>
      <w:bookmarkEnd w:id="3"/>
      <w:r>
        <w:rPr>
          <w:rFonts w:ascii="Times New Roman" w:hAnsi="Times New Roman"/>
          <w:b/>
          <w:color w:val="000000"/>
          <w:sz w:val="20"/>
        </w:rPr>
        <w:t>Item 1.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STAR GROUP, L.P.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left"/>
        <w:rPr/>
      </w:pPr>
      <w:r>
        <w:rPr/>
        <w:t> </w:t>
      </w:r>
    </w:p>
    <w:tbl>
      <w:tblPr>
        <w:tblW w:w="8952" w:type="dxa"/>
        <w:jc w:val="left"/>
        <w:tblInd w:w="0" w:type="dxa"/>
        <w:tblLayout w:type="fixed"/>
        <w:tblCellMar>
          <w:top w:w="28" w:type="dxa"/>
          <w:left w:w="28" w:type="dxa"/>
          <w:bottom w:w="28" w:type="dxa"/>
          <w:right w:w="28" w:type="dxa"/>
        </w:tblCellMar>
      </w:tblPr>
      <w:tblGrid>
        <w:gridCol w:w="5601"/>
        <w:gridCol w:w="146"/>
        <w:gridCol w:w="211"/>
        <w:gridCol w:w="931"/>
        <w:gridCol w:w="166"/>
        <w:gridCol w:w="146"/>
        <w:gridCol w:w="242"/>
        <w:gridCol w:w="898"/>
        <w:gridCol w:w="611"/>
      </w:tblGrid>
      <w:tr>
        <w:trPr/>
        <w:tc>
          <w:tcPr>
            <w:tcW w:w="5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89"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net of allowance of $8,938 and $7,196,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asset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Captive insurance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charges and 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937,331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PARTNERS’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liability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Unearned service contract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credit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Partners’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unitholders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partner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partners’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partners’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937,331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STAR GROUP, L.P.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36"/>
        <w:gridCol w:w="146"/>
        <w:gridCol w:w="211"/>
        <w:gridCol w:w="781"/>
        <w:gridCol w:w="166"/>
        <w:gridCol w:w="211"/>
        <w:gridCol w:w="781"/>
        <w:gridCol w:w="166"/>
        <w:gridCol w:w="146"/>
        <w:gridCol w:w="211"/>
        <w:gridCol w:w="931"/>
        <w:gridCol w:w="166"/>
        <w:gridCol w:w="211"/>
        <w:gridCol w:w="931"/>
        <w:gridCol w:w="6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unit data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Installations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1,536,726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installations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decrease in the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Delivery and branch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charge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155,414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Partner’s interest in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Limited Partners’ interest in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101,214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income (loss) per Limited Partner Unit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Limited Partner units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See Note 15 - Earnings Per Limited Partner Unit.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STAR GROUP, L.P.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INCOME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92"/>
        <w:gridCol w:w="146"/>
        <w:gridCol w:w="211"/>
        <w:gridCol w:w="736"/>
        <w:gridCol w:w="166"/>
        <w:gridCol w:w="211"/>
        <w:gridCol w:w="736"/>
        <w:gridCol w:w="166"/>
        <w:gridCol w:w="211"/>
        <w:gridCol w:w="781"/>
        <w:gridCol w:w="166"/>
        <w:gridCol w:w="211"/>
        <w:gridCol w:w="781"/>
        <w:gridCol w:w="591"/>
      </w:tblGrid>
      <w:tr>
        <w:trPr/>
        <w:tc>
          <w:tcPr>
            <w:tcW w:w="5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pension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pension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captive insurance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captive insurance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(loss) on interest rate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STAR GROUP, L.P. AND SUBSIDIARIES</w:t>
      </w:r>
    </w:p>
    <w:p>
      <w:pPr>
        <w:pStyle w:val="TextBody"/>
        <w:bidi w:val="0"/>
        <w:jc w:val="center"/>
        <w:rPr>
          <w:rFonts w:ascii="Times New Roman" w:hAnsi="Times New Roman"/>
          <w:b/>
          <w:color w:val="000000"/>
          <w:sz w:val="20"/>
        </w:rPr>
      </w:pPr>
      <w:bookmarkStart w:id="7" w:name="condensed_consol_statemnt_of_partn_qtd"/>
      <w:bookmarkEnd w:id="7"/>
      <w:r>
        <w:rPr>
          <w:rFonts w:ascii="Times New Roman" w:hAnsi="Times New Roman"/>
          <w:b/>
          <w:color w:val="000000"/>
          <w:sz w:val="20"/>
        </w:rPr>
        <w:t>CONDENSED CONSOLIDATED STATEMENT OF PARTNERS’ CAPITAL</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53"/>
        <w:gridCol w:w="146"/>
        <w:gridCol w:w="146"/>
        <w:gridCol w:w="676"/>
        <w:gridCol w:w="166"/>
        <w:gridCol w:w="146"/>
        <w:gridCol w:w="177"/>
        <w:gridCol w:w="514"/>
        <w:gridCol w:w="146"/>
        <w:gridCol w:w="146"/>
        <w:gridCol w:w="211"/>
        <w:gridCol w:w="781"/>
        <w:gridCol w:w="166"/>
        <w:gridCol w:w="146"/>
        <w:gridCol w:w="211"/>
        <w:gridCol w:w="631"/>
        <w:gridCol w:w="166"/>
        <w:gridCol w:w="146"/>
        <w:gridCol w:w="270"/>
        <w:gridCol w:w="946"/>
        <w:gridCol w:w="166"/>
        <w:gridCol w:w="146"/>
        <w:gridCol w:w="211"/>
        <w:gridCol w:w="781"/>
        <w:gridCol w:w="411"/>
      </w:tblGrid>
      <w:tr>
        <w:trPr/>
        <w:tc>
          <w:tcPr>
            <w:tcW w:w="2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Partners’</w:t>
              <w:br/>
              <w:t>Capital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pension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pension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captive insurance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captive insurance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interest rate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Retirement of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Partners’</w:t>
              <w:br/>
              <w:t>Capital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pension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pension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captive insurance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captive insurance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loss on interest rate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Retirement of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337,568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STAR GROUP, L.P. AND SUBSIDIARIES</w:t>
      </w:r>
    </w:p>
    <w:p>
      <w:pPr>
        <w:pStyle w:val="TextBody"/>
        <w:bidi w:val="0"/>
        <w:jc w:val="center"/>
        <w:rPr>
          <w:rFonts w:ascii="Times New Roman" w:hAnsi="Times New Roman"/>
          <w:b/>
          <w:color w:val="000000"/>
          <w:sz w:val="20"/>
        </w:rPr>
      </w:pPr>
      <w:bookmarkStart w:id="8" w:name="condensed_consol_statemnt_of_partn_ytd"/>
      <w:bookmarkEnd w:id="8"/>
      <w:r>
        <w:rPr>
          <w:rFonts w:ascii="Times New Roman" w:hAnsi="Times New Roman"/>
          <w:b/>
          <w:color w:val="000000"/>
          <w:sz w:val="20"/>
        </w:rPr>
        <w:t>CONDENSED CONSOLIDATED STATEMENT OF PARTNERS’ CAPITAL</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53"/>
        <w:gridCol w:w="146"/>
        <w:gridCol w:w="146"/>
        <w:gridCol w:w="676"/>
        <w:gridCol w:w="166"/>
        <w:gridCol w:w="146"/>
        <w:gridCol w:w="177"/>
        <w:gridCol w:w="514"/>
        <w:gridCol w:w="146"/>
        <w:gridCol w:w="146"/>
        <w:gridCol w:w="211"/>
        <w:gridCol w:w="781"/>
        <w:gridCol w:w="166"/>
        <w:gridCol w:w="146"/>
        <w:gridCol w:w="211"/>
        <w:gridCol w:w="631"/>
        <w:gridCol w:w="166"/>
        <w:gridCol w:w="146"/>
        <w:gridCol w:w="270"/>
        <w:gridCol w:w="946"/>
        <w:gridCol w:w="166"/>
        <w:gridCol w:w="146"/>
        <w:gridCol w:w="211"/>
        <w:gridCol w:w="781"/>
        <w:gridCol w:w="411"/>
      </w:tblGrid>
      <w:tr>
        <w:trPr/>
        <w:tc>
          <w:tcPr>
            <w:tcW w:w="2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Partners’</w:t>
              <w:br/>
              <w:t>Capital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pension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pension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captive insurance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captive insurance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interest rate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Retirement of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Partners’</w:t>
              <w:br/>
              <w:t>Capital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pension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pension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captive insurance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captive insurance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loss on interest rate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Retirement of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337,568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STAR GROUP, L.P. AND SUBSIDIARIES</w:t>
      </w:r>
    </w:p>
    <w:p>
      <w:pPr>
        <w:pStyle w:val="TextBody"/>
        <w:bidi w:val="0"/>
        <w:jc w:val="center"/>
        <w:rPr>
          <w:rFonts w:ascii="Times New Roman" w:hAnsi="Times New Roman"/>
          <w:sz w:val="20"/>
        </w:rPr>
      </w:pPr>
      <w:bookmarkStart w:id="9" w:name="condensed_consolidated_statements_cash_f"/>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left"/>
        <w:rPr/>
      </w:pPr>
      <w:r>
        <w:rPr/>
        <w:t> </w:t>
      </w:r>
    </w:p>
    <w:tbl>
      <w:tblPr>
        <w:tblW w:w="8864" w:type="dxa"/>
        <w:jc w:val="left"/>
        <w:tblInd w:w="0" w:type="dxa"/>
        <w:tblLayout w:type="fixed"/>
        <w:tblCellMar>
          <w:top w:w="28" w:type="dxa"/>
          <w:left w:w="28" w:type="dxa"/>
          <w:bottom w:w="28" w:type="dxa"/>
          <w:right w:w="28" w:type="dxa"/>
        </w:tblCellMar>
      </w:tblPr>
      <w:tblGrid>
        <w:gridCol w:w="5811"/>
        <w:gridCol w:w="146"/>
        <w:gridCol w:w="211"/>
        <w:gridCol w:w="781"/>
        <w:gridCol w:w="166"/>
        <w:gridCol w:w="146"/>
        <w:gridCol w:w="211"/>
        <w:gridCol w:w="781"/>
        <w:gridCol w:w="61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reconcile net income to net cash provided by (used in)</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decrease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losses on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in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decrease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(decrease)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Decrease in customer credit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in other current and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certain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retainage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debt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STAR GROUP, L.P.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notes_to_condensed_consolidated_financia"/>
      <w:bookmarkEnd w:id="10"/>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Star Group, L.P. (“Star,” the “Company,” “we,” “us,” or “our”) is a full-service provider specializing in the sale of home heating and air conditioning products and services to residential and commercial home heating oil and propane customers. The Company has one reportable segment for accounting purposes. We also sell diesel fuel, gasoline and home heating oil on a delivery only basis. We believe we are the nation’s largest retail distributor of home heating oil based upon sales volume.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organized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 is a limited partnership, which at June 30, 2026, had outstanding 32.8 million Common Units (NYSE: “SGU”), representing a 99.0% limited partner interest in Star, and 0.3 million general partner units, representing a 1.0% general partner interest in Star. Our general partner is Kestrel Heat, LLC, a Delaware limited liability company (“Kestrel Heat” or the “general partner”). The Board of Directors of Kestrel Heat (the “Board”) is appointed by its sole member, Kestrel Energy Partners, LLC, a Delaware limited liability company (“Kestrel”). Although Star is a partnership, it is taxed as a corporation and its distributions to unitholders are treated as taxable 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 owns 100% of Star Acquisitions, Inc. (“SA”), a Minnesota corporation that owns 100% of Petro Holdings, Inc. (“Petro”). SA and its subsidiaries are subject to Federal and state corporate income taxes. Star’s operations are conducted through Petro and its subsidiaries. Petro is primarily a Northeast and Mid-Atlantic U.S. region retail distributor of home heating oil and propane that at June 30, 2026, served approximately 396,900 full service residential and commercial home heating oil and propane accounts and 66,000 accounts on a delivery only basis. We also sell gasoline and diesel fuel to approximately 27,500 accounts. We install, maintain, and repair heating and air conditioning equipment and to a lesser extent provide these services outside our heating oil and propane customer base including approximately 19,800 service contracts for natural gas and other heating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Petroleum Heat and Power Co., Inc. (“PH&amp;P”) is a wholly owned subsidiary of Star. PH&amp;P is the borrower and Star is the guarantor of the seventh amended and restated credit agreement’s $210 million five-year senior secured term loan and the $400 million ($475 million during the heating season of December through April of each year) revolving credit facility, both due September 27, 2029. (See Note 11—Long-Term Debt and Bank Facility Borrowings).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Star and its subsidiaries. All material intercompany items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information included herein is unaudited; however, such information reflects all adjustments (consisting solely of normal recurring adjustments), which are, in the opinion of management, necessary for the fair statement of financial condition and results for the interim periods. Due to the seasonal nature of the Company’s business, the results of operations and cash flows for the nine-month period ended June 30, 2026, are not necessarily indicative of the results to be expected for the full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interim financial statements of the Company have been prepared in accordance with U.S. Generally Accepted Accounting Principles (“GAAP”) for interim financial information and Rule 10-01 of Regulation S-X of the U.S. Securities and Exchange Commission (the “SEC”) and should be read in conjunction with the financial statements included in the Company’s Annual Report on Form 10-K for the year ended September 30, 2025.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Comprehensive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income (loss) is comprised of Net income (loss) and Other comprehensive income. Other comprehensive income consists of the unrealized gain on amortization on the Company’s pension plan obligation for its frozen defined benefit pension plan, unrealized gain on available-for-sale investments, unrealized gain (loss) on interest rate hedges and the corresponding tax effects.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with an original maturity of three months or less when purchased to be cash equivalents. At June 30, 2026, the $27.3 million of cash, cash equivalents, and restricted cash on the Condensed Consolidated Statements of Cash Flows is composed of $27.0 million of cash and cash equivalents and $0.3 million of restricted cash. At September 30, 2025, the $24.9 million of cash, cash equivalents, and restricted cash on the Condensed Consolidated Statements of Cash Flows is composed of $24.7 million of cash and cash equivalents and $0.3 million of restricted cash. Restricted cash represents deposits held by our captive insurance company that are required by state insurance regulations to remain in the captive insurance company as cash.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Fair Value Valuation Approach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w:t>
      </w:r>
    </w:p>
    <w:p>
      <w:pPr>
        <w:pStyle w:val="TextBody"/>
        <w:bidi w:val="0"/>
        <w:spacing w:before="240" w:after="43"/>
        <w:jc w:val="left"/>
        <w:rPr>
          <w:color w:val="000000"/>
        </w:rPr>
      </w:pPr>
      <w:r>
        <w:rPr>
          <w:color w:val="000000"/>
        </w:rPr>
        <w:t>•</w:t>
      </w:r>
    </w:p>
    <w:p>
      <w:pPr>
        <w:pStyle w:val="TextBody"/>
        <w:bidi w:val="0"/>
        <w:spacing w:before="240" w:after="43"/>
        <w:jc w:val="left"/>
        <w:rPr>
          <w:rFonts w:ascii="Times New Roman" w:hAnsi="Times New Roman"/>
          <w:color w:val="000000"/>
          <w:sz w:val="20"/>
        </w:rPr>
      </w:pPr>
      <w:r>
        <w:rPr>
          <w:rFonts w:ascii="Times New Roman" w:hAnsi="Times New Roman"/>
          <w:color w:val="000000"/>
          <w:sz w:val="20"/>
        </w:rPr>
        <w:t xml:space="preserve">Level 1 inputs: Unadjusted quoted prices in active markets for identical assets or liabilities accessible to the reporting entity at the measurement date. </w:t>
      </w:r>
    </w:p>
    <w:p>
      <w:pPr>
        <w:pStyle w:val="TextBody"/>
        <w:bidi w:val="0"/>
        <w:spacing w:before="0" w:after="43"/>
        <w:jc w:val="left"/>
        <w:rPr>
          <w:color w:val="000000"/>
        </w:rPr>
      </w:pPr>
      <w:r>
        <w:rPr>
          <w:color w:val="000000"/>
        </w:rPr>
        <w:t>•</w:t>
      </w:r>
    </w:p>
    <w:p>
      <w:pPr>
        <w:pStyle w:val="TextBody"/>
        <w:bidi w:val="0"/>
        <w:spacing w:before="0" w:after="43"/>
        <w:jc w:val="left"/>
        <w:rPr>
          <w:rFonts w:ascii="Times New Roman" w:hAnsi="Times New Roman"/>
          <w:color w:val="000000"/>
          <w:sz w:val="20"/>
        </w:rPr>
      </w:pPr>
      <w:r>
        <w:rPr>
          <w:rFonts w:ascii="Times New Roman" w:hAnsi="Times New Roman"/>
          <w:color w:val="000000"/>
          <w:sz w:val="20"/>
        </w:rPr>
        <w:t xml:space="preserve">Level 2 inputs: Other than quoted prices included in Level 1 inputs that are observable for the asset or liability, either directly or indirectly, for substantially the full term of the asset or liability.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before="360" w:after="283"/>
        <w:jc w:val="left"/>
        <w:rPr>
          <w:rFonts w:ascii="Times New Roman" w:hAnsi="Times New Roman"/>
          <w:sz w:val="20"/>
        </w:rPr>
      </w:pPr>
      <w:r>
        <w:rPr>
          <w:rFonts w:ascii="Times New Roman" w:hAnsi="Times New Roman"/>
          <w:i/>
          <w:color w:val="000000"/>
          <w:sz w:val="20"/>
        </w:rPr>
        <w:t>Captive Insurance Collateral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captive insurance collateral is held by our captive insurance company in an irrevocable trust as collateral for certain workers’ compensation and automobile liability claims. The collateral is required by a third-party insurance carrier that insures per claim amounts above a set deductible. If we did not deposit cash into the trust, the third-party carrier would require that we issue an equal amount of letters of credit, which would reduce our availability under the credit agreement. Due to the expected timing of claim payments, the nature of the collateral agreement with the carrier, and our captive insurance company’s source of other operating cash, such as future premiums and earnings on investments, the collateral is not expected to be used to pay obligations within the next twelve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Unrealized gains and losses, net of related income taxes, are reported as accumulated other comprehensive income (loss), except for losses from impairments which are determined to be other-than-temporary. Realized gains and losses, and declines in value judged to be other-than-temporary on available-for-sale securities are included in the determination of net income and are included in Interest expense, net, at which time the average cost basis of these securities are adjusted to fair value.</w:t>
      </w:r>
    </w:p>
    <w:p>
      <w:pPr>
        <w:pStyle w:val="TextBody"/>
        <w:bidi w:val="0"/>
        <w:spacing w:before="360" w:after="283"/>
        <w:jc w:val="left"/>
        <w:rPr>
          <w:rFonts w:ascii="Times New Roman" w:hAnsi="Times New Roman"/>
          <w:sz w:val="20"/>
        </w:rPr>
      </w:pPr>
      <w:r>
        <w:rPr>
          <w:rFonts w:ascii="Times New Roman" w:hAnsi="Times New Roman"/>
          <w:i/>
          <w:color w:val="000000"/>
          <w:sz w:val="20"/>
        </w:rPr>
        <w:t>Weather Hedge Contract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partially mitigate the adverse effect of warm weather on cash flows, the Company has used weather hedge contracts for a number of years. Weather hedge contracts are recorded in accordance with the intrinsic value method defined by the Financial Accounting Standards Board (“FASB”) Accounting Standards Codification (“ASC”) 815-45-15 Derivatives and Hedging, Weather Derivatives (EITF 99-2). The premium paid is included in the caption “Prepaid expenses and other current assets” in the accompanying balance sheets and amortized over the life of the contract, with the intrinsic value method applied at each interim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weather hedge contracts for fiscal years 2026 and 2025. The hedge period runs from November 1 through March 31, taken as a whole. The “Payment Thresholds,” or strikes, are set at various levels and are referenced against degree days for the prior ten year average. For each fiscal year under these contracts, the maximum amount the Company could receive is $15.0 million and the Company is additionally obligated to make an annual payment capped at $5.0 million if degree days exceed the Payment Threshold.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temperatures experienced during the hedge periods through March 31, 2026, and March 31 2025, were colder than the strike prices in the weather hedge contracts. As a result, as of March 31, 2026, and March 31, 2025, we increased delivery and branch expense and recorded a payable under those weather hedge contracts of $5.0 million and $3.1 million, respectively. The amounts were paid in full in April 2026 and April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fiscal 2027, the Company entered into a weather hedge contract with the same hedge period as described above; November 1 through March 31. The maximum that the Company can receive is $12.5 million annually and we are not obligated to make an annual payment if degree days exceed the Payment Threshold.</w:t>
      </w:r>
    </w:p>
    <w:p>
      <w:pPr>
        <w:pStyle w:val="TextBody"/>
        <w:bidi w:val="0"/>
        <w:spacing w:before="360" w:after="283"/>
        <w:jc w:val="left"/>
        <w:rPr>
          <w:rFonts w:ascii="Times New Roman" w:hAnsi="Times New Roman"/>
          <w:sz w:val="20"/>
        </w:rPr>
      </w:pPr>
      <w:r>
        <w:rPr>
          <w:rFonts w:ascii="Times New Roman" w:hAnsi="Times New Roman"/>
          <w:i/>
          <w:color w:val="000000"/>
          <w:sz w:val="20"/>
        </w:rPr>
        <w:t>New England Teamsters and Trucking Industry Pension Fund (“the NETTI Fund”)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$0.3 million and $15.1 million included in the captions “Accrued expenses and other current liabilities” and “Other long-term liabilities,” respectively, on our Condensed Consolidated Balance Sheet representing the remaining balance of the NETTI Fund withdrawal liability. As of September 30, 2025, we had $0.3 million and $15.3 million reflected in these categories respectively. Based on the borrowing rates currently available to the Company for long-term financing of a similar maturity, the fair value of the NETTI Fund withdrawal liability as of June 30, 2026, and September 30, 2025, was $17.6 million and $18.3 million, respectively. We utilized Level 2 inputs in the fair value hierarchy of valuation techniques to determine the fair value of this liability.</w:t>
      </w:r>
    </w:p>
    <w:p>
      <w:pPr>
        <w:pStyle w:val="TextBody"/>
        <w:bidi w:val="0"/>
        <w:spacing w:before="360" w:after="283"/>
        <w:jc w:val="left"/>
        <w:rPr>
          <w:rFonts w:ascii="Times New Roman" w:hAnsi="Times New Roman"/>
          <w:sz w:val="20"/>
        </w:rPr>
      </w:pPr>
      <w:r>
        <w:rPr>
          <w:rFonts w:ascii="Times New Roman" w:hAnsi="Times New Roman"/>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new Accounting Pronouncements were adopted through the fiscal nine months ended June 30, 2026.</w:t>
      </w:r>
    </w:p>
    <w:p>
      <w:pPr>
        <w:pStyle w:val="TextBody"/>
        <w:bidi w:val="0"/>
        <w:spacing w:before="360" w:after="283"/>
        <w:jc w:val="left"/>
        <w:rPr>
          <w:rFonts w:ascii="Times New Roman" w:hAnsi="Times New Roman"/>
          <w:sz w:val="20"/>
        </w:rPr>
      </w:pPr>
      <w:r>
        <w:rPr>
          <w:rFonts w:ascii="Times New Roman" w:hAnsi="Times New Roman"/>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requires that an entity, on an annual basis, disclose additional income tax information, primarily related to the rate reconciliation and income taxes paid. The standard is effective for fiscal years beginning after December 15, 2024. Adoption is either with a prospective method or a fully retrospective method of transition. Early adoption is permitted. We expect the standard will expand the disclosures provided in our annual financial statements, particularly in the rate reconciliation section, but do not anticipate that adoption will have a material effect on our consolidated results of operations, financial position, or cash flows. We plan to adopt ASU 2023-09 for the annual period ending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requiring disclosure in the notes to the financial statements for specified information about certain costs and expenses. Additionally, in January 2025, the FASB issued ASU 2025-01 to clarify the effective date of ASU 2024-03. The standard is effective for fiscal years beginning after December 15, 2026, and interim periods within annual reporting periods beginning after December 15, 2027, with early adoption and retrospective application permitted. We are currently evaluating the impact of this standard on our consolidated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FASB issued ASU 2025-05, Financial Instruments—Credit Losses (Topic 326): Measurement of Credit Losses for Accounts Receivable and Contract Assets, which provides a practical expedient for all entities to simplify the estimation of expected credit losses on current accounts receivable and current contract assets arising from revenue contracts under Topic 606. The standard is effective for fiscal years beginning after December 15, 2025, with early adoption permitted. We are currently evaluating the impact of this standard on our consolidated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the FASB issued ASU 2025-06, Intangibles—Goodwill and Other—Internal-Use Software (Subtopic 350-40): Targeted Improvements to the Accounting for Internal-Use Software, which modernizes the guidance on capitalizing costs for internal-use software by eliminating predefined development stages and introducing a principles-based approach focused on probable completion and use. The standard is effective for fiscal years beginning after December 15, 2027, with early adoption permitted. We are currently evaluating the impact of this standard on our consolidated financial statements and related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Revenue Recognition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disaggregates our revenue by major sources for the three and nine months ended June 30, 2026, and June 30, 2025:</w:t>
      </w:r>
    </w:p>
    <w:tbl>
      <w:tblPr>
        <w:tblW w:w="9539" w:type="dxa"/>
        <w:jc w:val="left"/>
        <w:tblInd w:w="0" w:type="dxa"/>
        <w:tblLayout w:type="fixed"/>
        <w:tblCellMar>
          <w:top w:w="28" w:type="dxa"/>
          <w:left w:w="28" w:type="dxa"/>
          <w:bottom w:w="28" w:type="dxa"/>
          <w:right w:w="28" w:type="dxa"/>
        </w:tblCellMar>
      </w:tblPr>
      <w:tblGrid>
        <w:gridCol w:w="3696"/>
        <w:gridCol w:w="546"/>
        <w:gridCol w:w="211"/>
        <w:gridCol w:w="781"/>
        <w:gridCol w:w="146"/>
        <w:gridCol w:w="211"/>
        <w:gridCol w:w="781"/>
        <w:gridCol w:w="146"/>
        <w:gridCol w:w="211"/>
        <w:gridCol w:w="931"/>
        <w:gridCol w:w="146"/>
        <w:gridCol w:w="211"/>
        <w:gridCol w:w="931"/>
        <w:gridCol w:w="591"/>
      </w:tblGrid>
      <w:tr>
        <w:trPr/>
        <w:tc>
          <w:tcPr>
            <w:tcW w:w="36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Petroleum Products: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Home heating oil and propane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1,046,864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petroleum products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Total petroleum products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Installations and Services: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installations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maintenance service contracts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Billable call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Total installations and services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 Sales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1,664,042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1,536,726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Deferred Contract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an asset for incremental commission expenses paid to sales personnel in conjunction with obtaining new residential customer product and equipment maintenance service contracts. We defer these costs only when we have determined the commissions are, in fact, incremental and would not have been incurred absent the customer contract. Costs to obtain a contract are amortized and recorded ratably as delivery and branch expenses over the period representing the transfer of goods or services to which the assets relate. Costs to obtain new residential product and equipment maintenance service contracts are amortized as expense over the estimated customer relationship period of approximately five years. Deferred contract costs are classified as current or non-current within “Prepaid expenses and other current assets” and “Deferred charges and other assets, net,” respectively. At June 30, 2026, the amount of deferred contract costs included in “Prepaid expenses and other current assets” and “Deferred charges and other assets, net” was $2.6 million and $4.1 million, respectively. At September 30, 2025, the amount of deferred contract costs included in “Prepaid expenses and other current assets” and “Deferred charges and other assets, net” was $2.8 million and $4.2 million, respectively. For the nine months ended June 30, 2026, we recognized expense of $2.4 million and for the nine months ended June 30, 2025, we recognized expense of $2.5 million associated with the amortization of deferred contract costs within “Delivery and branch expenses” in the Condensed Consolidated Statement of Operations.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Contract Liability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contract liabilities for advanced payments received from customers for future oil deliveries (primarily amounts received from customers on “smart pay” budget payment plans in advance of oil deliveries) and obligations to service customers with equipment maintenance service contracts. Contract liabilities are recognized straight-line over the service contract period, generally one year or less. As of June 30, 2026 and September 30, 2025, the Company had contract liabilities of $103.3 million and $149.7 million, respectively. During the nine months ended June 30, 2026, the Company recognized $132.3 million of revenue that was included in the September 30, 2025, contract liability balance. During the nine months ended June 30, 2025, the Company recognized $147.3 million of revenue that was included in the September 30, 2024, contract liability balance.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Receivables and Allowance for Doubtful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receivables from customers are recorded at the invoiced amounts. Finance charges may be applied to trade receivables that are more than 30 days past due, and are recorded as finance charge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doubtful accounts is the Company’s estimate of the amount of trade receivables that may not be collectible. The allowance is determined at an aggregate level by grouping accounts based on certain account criteria and its receivable aging. The allowance is based on both quantitative and qualitative factors, including historical loss experience, historical collection patterns, overdue status, aging trends, current and future economic conditions. The Company has an established process to periodically review current and past due trade receivable balances to determine the adequacy of the allowance. No single statistic or measurement determines the adequacy of the allowance. The total allowance reflects management’s estimate of losses inherent in its trade receivables at the balance sheet date. Different assumptions or changes in economic conditions could result in material changes to the allowance for doubtful accounts.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allowance for credit losses are as follows:</w:t>
      </w:r>
    </w:p>
    <w:p>
      <w:pPr>
        <w:pStyle w:val="TextBody"/>
        <w:bidi w:val="0"/>
        <w:jc w:val="left"/>
        <w:rPr/>
      </w:pPr>
      <w:r>
        <w:rPr/>
        <w:t> </w:t>
      </w:r>
    </w:p>
    <w:tbl>
      <w:tblPr>
        <w:tblW w:w="4577" w:type="dxa"/>
        <w:jc w:val="left"/>
        <w:tblInd w:w="0" w:type="dxa"/>
        <w:tblLayout w:type="fixed"/>
        <w:tblCellMar>
          <w:top w:w="28" w:type="dxa"/>
          <w:left w:w="28" w:type="dxa"/>
          <w:bottom w:w="28" w:type="dxa"/>
          <w:right w:w="28" w:type="dxa"/>
        </w:tblCellMar>
      </w:tblPr>
      <w:tblGrid>
        <w:gridCol w:w="2641"/>
        <w:gridCol w:w="431"/>
        <w:gridCol w:w="1294"/>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 Allowance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period provision</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net and other</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Common Unit Repurchase and Retirement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2012, the Board adopted a plan to repurchase certain of the Company’s Common Units (the “Repurchase Plan”). Through February 2026, the Company had repurchased approximately 22.6 million Common Units under the Repurchase Plan. In February 2026, the Board authorized an increase of the number of Common Units that remained available for the Company to repurchase from 0.5 million to a total of 2.1 million, of which, 2.0 million were available for repurchase in open market transactions and approximately 0.1 million were available for repurchase in privately negotiated transactions. There is no guarantee of the number of units that will be purchased under the Repurchase Plan and the Company may discontinue purchases at any time. The Repurchase Plan does not have a time limit. The Board may also approve additional purchases of units from time to time in private transactions. The Company’s repurchase activities take into account SEC safe harbor rules and guidance for issuer repurchases. All of the Common Units purchased under the Repurchase Plan will be retired.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credit agreement dated September 27, 2024, in order to repurchase Common Units we must maintain Availability (as defined in the credit agreement) of not less than the greater of (i) 15% of the Line Cap (lesser of the aggregate revolving commitment and the borrowing base) which was $34.9 million as of June 30, 2026, and (ii) $40 million on a historical pro forma and forward-looking basis, and a fixed charge coverage ratio of not less than 1.15 measured as of the date of repurchase or distribution. (See Note 11—Long-Term Debt and Bank Facility Borrowings).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shows repurchases under the Repurchase Plan: </w:t>
      </w:r>
    </w:p>
    <w:tbl>
      <w:tblPr>
        <w:tblW w:w="10205" w:type="dxa"/>
        <w:jc w:val="left"/>
        <w:tblInd w:w="0" w:type="dxa"/>
        <w:tblLayout w:type="fixed"/>
        <w:tblCellMar>
          <w:top w:w="28" w:type="dxa"/>
          <w:left w:w="28" w:type="dxa"/>
          <w:bottom w:w="28" w:type="dxa"/>
          <w:right w:w="28" w:type="dxa"/>
        </w:tblCellMar>
      </w:tblPr>
      <w:tblGrid>
        <w:gridCol w:w="2142"/>
        <w:gridCol w:w="146"/>
        <w:gridCol w:w="197"/>
        <w:gridCol w:w="915"/>
        <w:gridCol w:w="146"/>
        <w:gridCol w:w="146"/>
        <w:gridCol w:w="293"/>
        <w:gridCol w:w="795"/>
        <w:gridCol w:w="146"/>
        <w:gridCol w:w="146"/>
        <w:gridCol w:w="555"/>
        <w:gridCol w:w="2590"/>
        <w:gridCol w:w="146"/>
        <w:gridCol w:w="146"/>
        <w:gridCol w:w="243"/>
        <w:gridCol w:w="953"/>
        <w:gridCol w:w="146"/>
        <w:gridCol w:w="354"/>
      </w:tblGrid>
      <w:tr>
        <w:trPr/>
        <w:tc>
          <w:tcPr>
            <w:tcW w:w="2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unit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br/>
            </w:r>
            <w:r>
              <w:rPr>
                <w:rFonts w:ascii="Times New Roman" w:hAnsi="Times New Roman"/>
                <w:b/>
                <w:color w:val="000000"/>
                <w:sz w:val="16"/>
                <w:u w:val="single"/>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Units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Unit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Units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w:t>
              <w:br/>
              <w:t>of Units that May</w:t>
              <w:br/>
              <w:t>Yet Be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Fiscal year 2012 to 2025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First quarter fiscal year 2026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Second quarter fiscal year 2026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Third quarter fiscal year 2026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sz w:val="24"/>
        </w:rPr>
      </w:pPr>
      <w:r>
        <w:rPr>
          <w:rFonts w:ascii="Times New Roman" w:hAnsi="Times New Roman"/>
          <w:color w:val="000000"/>
          <w:sz w:val="20"/>
        </w:rPr>
        <w:t>Amount includes repurchase costs.</w:t>
      </w:r>
      <w:r>
        <w:rPr>
          <w:rFonts w:ascii="Times New Roman" w:hAnsi="Times New Roman"/>
          <w:color w:val="000000"/>
          <w:sz w:val="24"/>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40" w:after="283"/>
        <w:jc w:val="left"/>
        <w:rPr>
          <w:rFonts w:ascii="Times New Roman" w:hAnsi="Times New Roman"/>
          <w:sz w:val="24"/>
        </w:rPr>
      </w:pPr>
      <w:r>
        <w:rPr>
          <w:rFonts w:ascii="Times New Roman" w:hAnsi="Times New Roman"/>
          <w:color w:val="000000"/>
          <w:sz w:val="20"/>
        </w:rPr>
        <w:t>In October 2025, the Company purchased 138,600</w:t>
      </w:r>
      <w:r>
        <w:rPr>
          <w:rFonts w:ascii="Times New Roman" w:hAnsi="Times New Roman"/>
          <w:color w:val="000000"/>
          <w:sz w:val="24"/>
        </w:rPr>
        <w:t xml:space="preserve"> </w:t>
      </w:r>
      <w:r>
        <w:rPr>
          <w:rFonts w:ascii="Times New Roman" w:hAnsi="Times New Roman"/>
          <w:color w:val="000000"/>
          <w:sz w:val="20"/>
        </w:rPr>
        <w:t>Common Units in a private transaction for aggregate consideration of approximately $1.6</w:t>
      </w:r>
      <w:r>
        <w:rPr>
          <w:rFonts w:ascii="Times New Roman" w:hAnsi="Times New Roman"/>
          <w:color w:val="000000"/>
          <w:sz w:val="24"/>
        </w:rPr>
        <w:t xml:space="preserve"> </w:t>
      </w:r>
      <w:r>
        <w:rPr>
          <w:rFonts w:ascii="Times New Roman" w:hAnsi="Times New Roman"/>
          <w:color w:val="000000"/>
          <w:sz w:val="20"/>
        </w:rPr>
        <w:t>million. The purchase was made within the Company’s unit repurchase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40" w:after="283"/>
        <w:jc w:val="left"/>
        <w:rPr>
          <w:rFonts w:ascii="Times New Roman" w:hAnsi="Times New Roman"/>
          <w:sz w:val="24"/>
        </w:rPr>
      </w:pPr>
      <w:r>
        <w:rPr>
          <w:rFonts w:ascii="Times New Roman" w:hAnsi="Times New Roman"/>
          <w:color w:val="000000"/>
          <w:sz w:val="20"/>
        </w:rPr>
        <w:t>In February 2026, the Board authorized an increase in the number of Common Units available for repurchase in open market transactions from 0.4</w:t>
      </w:r>
      <w:r>
        <w:rPr>
          <w:rFonts w:ascii="Times New Roman" w:hAnsi="Times New Roman"/>
          <w:color w:val="000000"/>
          <w:sz w:val="24"/>
        </w:rPr>
        <w:t xml:space="preserve"> </w:t>
      </w:r>
      <w:r>
        <w:rPr>
          <w:rFonts w:ascii="Times New Roman" w:hAnsi="Times New Roman"/>
          <w:color w:val="000000"/>
          <w:sz w:val="20"/>
        </w:rPr>
        <w:t>million to 2.0</w:t>
      </w:r>
      <w:r>
        <w:rPr>
          <w:rFonts w:ascii="Times New Roman" w:hAnsi="Times New Roman"/>
          <w:color w:val="000000"/>
          <w:sz w:val="24"/>
        </w:rPr>
        <w:t xml:space="preserve"> </w:t>
      </w:r>
      <w:r>
        <w:rPr>
          <w:rFonts w:ascii="Times New Roman" w:hAnsi="Times New Roman"/>
          <w:color w:val="000000"/>
          <w:sz w:val="20"/>
        </w:rPr>
        <w:t>million.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40" w:after="283"/>
        <w:jc w:val="left"/>
        <w:rPr>
          <w:rFonts w:ascii="Times New Roman" w:hAnsi="Times New Roman"/>
          <w:sz w:val="24"/>
        </w:rPr>
      </w:pPr>
      <w:r>
        <w:rPr>
          <w:rFonts w:ascii="Times New Roman" w:hAnsi="Times New Roman"/>
          <w:color w:val="000000"/>
          <w:sz w:val="20"/>
        </w:rPr>
        <w:t>Of the total available for repurchase, approximately 2.0</w:t>
      </w:r>
      <w:r>
        <w:rPr>
          <w:rFonts w:ascii="Times New Roman" w:hAnsi="Times New Roman"/>
          <w:color w:val="000000"/>
          <w:sz w:val="24"/>
        </w:rPr>
        <w:t xml:space="preserve"> </w:t>
      </w:r>
      <w:r>
        <w:rPr>
          <w:rFonts w:ascii="Times New Roman" w:hAnsi="Times New Roman"/>
          <w:color w:val="000000"/>
          <w:sz w:val="20"/>
        </w:rPr>
        <w:t>million units are available for repurchase in open market transactions and approximately 0.1</w:t>
      </w:r>
      <w:r>
        <w:rPr>
          <w:rFonts w:ascii="Times New Roman" w:hAnsi="Times New Roman"/>
          <w:color w:val="000000"/>
          <w:sz w:val="24"/>
        </w:rPr>
        <w:t xml:space="preserve"> </w:t>
      </w:r>
      <w:r>
        <w:rPr>
          <w:rFonts w:ascii="Times New Roman" w:hAnsi="Times New Roman"/>
          <w:color w:val="000000"/>
          <w:sz w:val="20"/>
        </w:rPr>
        <w:t>million units are available for repurchase in privately-negotiated transactions, under the Repurchase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Captive Insurance Collateral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of its captive insurance collateral to be Level 1 available-for-sale investments. Investments at June 30, 2026, consist of the following (in thousands):</w:t>
      </w:r>
    </w:p>
    <w:p>
      <w:pPr>
        <w:pStyle w:val="TextBody"/>
        <w:bidi w:val="0"/>
        <w:jc w:val="left"/>
        <w:rPr/>
      </w:pPr>
      <w:r>
        <w:rPr/>
        <w:t> </w:t>
      </w:r>
    </w:p>
    <w:tbl>
      <w:tblPr>
        <w:tblW w:w="9726" w:type="dxa"/>
        <w:jc w:val="left"/>
        <w:tblInd w:w="0" w:type="dxa"/>
        <w:tblLayout w:type="fixed"/>
        <w:tblCellMar>
          <w:top w:w="28" w:type="dxa"/>
          <w:left w:w="28" w:type="dxa"/>
          <w:bottom w:w="28" w:type="dxa"/>
          <w:right w:w="28" w:type="dxa"/>
        </w:tblCellMar>
      </w:tblPr>
      <w:tblGrid>
        <w:gridCol w:w="2776"/>
        <w:gridCol w:w="146"/>
        <w:gridCol w:w="296"/>
        <w:gridCol w:w="949"/>
        <w:gridCol w:w="146"/>
        <w:gridCol w:w="146"/>
        <w:gridCol w:w="584"/>
        <w:gridCol w:w="1171"/>
        <w:gridCol w:w="146"/>
        <w:gridCol w:w="146"/>
        <w:gridCol w:w="657"/>
        <w:gridCol w:w="1173"/>
        <w:gridCol w:w="166"/>
        <w:gridCol w:w="146"/>
        <w:gridCol w:w="211"/>
        <w:gridCol w:w="6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at September 30, 2025 consist of the following (in thousands):</w:t>
      </w:r>
    </w:p>
    <w:p>
      <w:pPr>
        <w:pStyle w:val="TextBody"/>
        <w:bidi w:val="0"/>
        <w:jc w:val="left"/>
        <w:rPr/>
      </w:pPr>
      <w:r>
        <w:rPr/>
        <w:t> </w:t>
      </w:r>
    </w:p>
    <w:tbl>
      <w:tblPr>
        <w:tblW w:w="9726" w:type="dxa"/>
        <w:jc w:val="left"/>
        <w:tblInd w:w="0" w:type="dxa"/>
        <w:tblLayout w:type="fixed"/>
        <w:tblCellMar>
          <w:top w:w="28" w:type="dxa"/>
          <w:left w:w="28" w:type="dxa"/>
          <w:bottom w:w="28" w:type="dxa"/>
          <w:right w:w="28" w:type="dxa"/>
        </w:tblCellMar>
      </w:tblPr>
      <w:tblGrid>
        <w:gridCol w:w="2776"/>
        <w:gridCol w:w="146"/>
        <w:gridCol w:w="296"/>
        <w:gridCol w:w="949"/>
        <w:gridCol w:w="146"/>
        <w:gridCol w:w="146"/>
        <w:gridCol w:w="663"/>
        <w:gridCol w:w="1092"/>
        <w:gridCol w:w="146"/>
        <w:gridCol w:w="146"/>
        <w:gridCol w:w="557"/>
        <w:gridCol w:w="1273"/>
        <w:gridCol w:w="166"/>
        <w:gridCol w:w="146"/>
        <w:gridCol w:w="211"/>
        <w:gridCol w:w="6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Maturities of investments were as follows at June 30, 2026 (in thousands):</w:t>
      </w:r>
    </w:p>
    <w:p>
      <w:pPr>
        <w:pStyle w:val="TextBody"/>
        <w:bidi w:val="0"/>
        <w:jc w:val="left"/>
        <w:rPr/>
      </w:pPr>
      <w:r>
        <w:rPr/>
        <w:t> </w:t>
      </w:r>
    </w:p>
    <w:tbl>
      <w:tblPr>
        <w:tblW w:w="5183" w:type="dxa"/>
        <w:jc w:val="left"/>
        <w:tblInd w:w="0" w:type="dxa"/>
        <w:tblLayout w:type="fixed"/>
        <w:tblCellMar>
          <w:top w:w="28" w:type="dxa"/>
          <w:left w:w="28" w:type="dxa"/>
          <w:bottom w:w="28" w:type="dxa"/>
          <w:right w:w="28" w:type="dxa"/>
        </w:tblCellMar>
      </w:tblPr>
      <w:tblGrid>
        <w:gridCol w:w="3136"/>
        <w:gridCol w:w="146"/>
        <w:gridCol w:w="407"/>
        <w:gridCol w:w="1303"/>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five years through ten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Derivatives and Hedging—Disclosures and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derivative instruments such as futures, options and swap agreements in order to mitigate exposure to market risk associated with the purchase of home heating oil for price-protected customers, physical inventory on hand, inventory in transit, priced purchase commitments and internal fuel usage. FASB ASC 815-10-05 Derivatives and Hedging, established accounting and reporting standards requiring that derivative instruments be recorded at fair value and included in the consolidated balance sheet as assets or liabilities, along with qualitative disclosures regarding the derivative activity. The Company has elected not to designate its commodity derivative instruments as hedging derivatives, but rather as economic hedges whose change in fair value is recognized in its statement of operations in the caption “(Increase) decrease in the fair value of derivative instruments.” Depending on the risk being economically hedged, realized gains and losses are recorded in cost of product, cost of installations and services, or delivery and branch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to hedge a substantial majority of the purchase price associated with heating oil gallons anticipated to be sold to our price-protected customers, the Company held the following derivative instruments that settle in future months to match anticipated sales: 3.7 million gallons of swap contracts, 2.6 million gallons of call options, 1.7 million gallons of put options, and 31.1 million net gallons of synthetic call options. To hedge its physical inventory on hand, inventory in transit and basis risk, the Company, as of June 30, 2026, held 1.2 million gallons of swap contracts and 8.4 million gallons of short future contracts that settle in future months. To hedge our internal fuel usage and other activities for fiscal 2026 and 2027, the Company held 5.2 million gallons of swap contracts that settle in future months.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to hedge a substantial majority of the purchase price associated with heating oil gallons anticipated to be sold to our price-protected customers, the Company held the following derivative instruments that settle in future months to match anticipated sales: 8.6 million gallons of swap contracts, 3.3 million gallons of call options, 3.7 million gallons of put options, and 36.0 million net gallons of synthetic call options. To hedge its physical inventory on hand, inventory in transit and basis risk, the Company, as of June 30, 2025, held 0.7 million gallons of swap contracts and 6.5 million gallons of short future contracts that settle in future months. To hedge our internal fuel usage and other activities for fiscal 2025 and 2026, the Company held 7.7 million gallons of swap contracts that settle in future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has interest rate swap agreements in order to mitigate exposure to market risk associated with variable rate interest on $71.9 million, or 41%, of our long-term debt. The Company has designated its interest rate swap agreements as cash flow hedging derivatives. To the extent these derivative instruments are effective and the accounting standard’s documentation requirements have been met, changes in fair value are recognized in other comprehensive income (loss) until the underlying hedged item is recognized in earnings. As of June 30, 2026, the fair value of the swap contracts was $0.1 million. As of September 30, 2025, the notional value of the swap contracts was $74.5 million and the fair value of the swap contracts was $(0.6) million. We utilized Level 2 inputs in the fair value hierarchy of valuation techniques to determine the fair value of the swap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derivative instruments are with the following counterparties: Bank of America, N.A., Bank of Montreal, Cargill, Inc., Citibank, N.A., Citizens Bank, N.A., JPMorgan Chase Bank, N.A., Swiss Re Corporate Solutions Global Markets, Inc. and Wells Fargo Bank, N.A. The Company assesses counterparty credit risk and considers it to be low. We maintain master netting arrangements that allow for the non-conditional offsetting of amounts receivable and payable with counterparties to help manage our risks and record derivative positions on a net basis. The Company generally does not receive cash collateral from its counterparties and does not restrict the use of cash collateral it maintains at counterparties. At June 30, 2026, we did not have any cash posted as collateral with counterparties. Positions with counterparties who are also parties to our credit agreement are collateralized under that facility. As of June 30, 2026, we did not have hedge positions or payable amounts secured under the credit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Level 1 derivative assets and liabilities represent the fair value of commodity contracts used in its hedging activities that are identical and traded in active markets. The Company’s Level 2 derivative assets and liabilities represent the fair value of commodity and interest rate contracts used in its hedging activities that are valued using either directly or indirectly observable inputs, whose nature, risk and class are similar. No significant transfers of assets or liabilities have been made into and out of the Level 1 or Level 2 tiers. All derivative instruments were non-trading positions and were either a Level 1 or Level 2 instrument. The Company had no Level 3 derivative instruments. The fair market value of our Level 1 and Level 2 derivative assets and liabilities is calculated by our counter-parties and is independently validated by the Company. The Company’s calculations are, for Level 1 derivative assets and liabilities, based on the published New York Mercantile Exchange (“NYMEX”) market prices for the commodity contracts open at the end of the period. For Level 2 derivative assets and liabilities the calculations performed by the Company are based on a combination of the NYMEX published market prices and other inputs, including such factors as present value, volatility and duration.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no assets or liabilities that are measured at fair value on a non-recurring basis subsequent to their initial recognition. The Company’s commodity financial assets and liabilities measured at fair value on a recurring basis are listed on the following table.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55"/>
        <w:gridCol w:w="146"/>
        <w:gridCol w:w="4326"/>
        <w:gridCol w:w="146"/>
        <w:gridCol w:w="211"/>
        <w:gridCol w:w="676"/>
        <w:gridCol w:w="166"/>
        <w:gridCol w:w="146"/>
        <w:gridCol w:w="451"/>
        <w:gridCol w:w="552"/>
        <w:gridCol w:w="209"/>
        <w:gridCol w:w="209"/>
        <w:gridCol w:w="330"/>
        <w:gridCol w:w="968"/>
        <w:gridCol w:w="214"/>
      </w:tblGrid>
      <w:tr>
        <w:trPr/>
        <w:tc>
          <w:tcPr>
            <w:tcW w:w="1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Not Designated</w:t>
              <w:br/>
              <w:t>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 for</w:t>
              <w:br/>
              <w:t>Identical Assets</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Under FASB ASC 815-10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9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 Derivatives at June 30, 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asset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assets included in the deferred charges and other assets, net and other long-term liabilities, net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7"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Commodity contract assets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9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Liability Derivatives at June 30, 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asset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assets included in the deferred charges and other assets, net and other long-term liabilities, net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7"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Commodity contract liabilities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999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 Derivatives at September 30,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asset and liability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assets included in the deferred charges and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7"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Commodity contract assets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8,316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9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Liability Derivatives at September 30,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asset and liability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assets included in the deferred charges and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7"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Commodity contract liabilities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(8,822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commodity derivative assets (liabilities) offset by counterparty and subject to an enforceable master netting arrangement are listed on the following table.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94"/>
        <w:gridCol w:w="146"/>
        <w:gridCol w:w="221"/>
        <w:gridCol w:w="710"/>
        <w:gridCol w:w="146"/>
        <w:gridCol w:w="146"/>
        <w:gridCol w:w="224"/>
        <w:gridCol w:w="670"/>
        <w:gridCol w:w="166"/>
        <w:gridCol w:w="146"/>
        <w:gridCol w:w="246"/>
        <w:gridCol w:w="791"/>
        <w:gridCol w:w="166"/>
        <w:gridCol w:w="146"/>
        <w:gridCol w:w="364"/>
        <w:gridCol w:w="597"/>
        <w:gridCol w:w="146"/>
        <w:gridCol w:w="146"/>
        <w:gridCol w:w="318"/>
        <w:gridCol w:w="523"/>
        <w:gridCol w:w="146"/>
        <w:gridCol w:w="146"/>
        <w:gridCol w:w="211"/>
        <w:gridCol w:w="676"/>
        <w:gridCol w:w="214"/>
      </w:tblGrid>
      <w:tr>
        <w:trPr/>
        <w:tc>
          <w:tcPr>
            <w:tcW w:w="2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Amounts Not Offset in the</w:t>
              <w:br/>
              <w:t>Statement of Financial Position</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Offsetting of Financial Assets (Liabilities)</w:t>
              <w:br/>
              <w:t>   </w:t>
            </w:r>
            <w:r>
              <w:rPr>
                <w:rFonts w:ascii="Times New Roman" w:hAnsi="Times New Roman"/>
                <w:b/>
                <w:color w:val="000000"/>
                <w:sz w:val="16"/>
                <w:u w:val="single"/>
              </w:rPr>
              <w:t>and Derivative Assets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Assets</w:t>
              <w:br/>
              <w:t>Recognized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Liabilities</w:t>
              <w:br/>
              <w:t>Offset in the</w:t>
              <w:br/>
              <w:t>Statement</w:t>
              <w:br/>
              <w:t>of Financial</w:t>
              <w:br/>
              <w:t>Position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 Assets</w:t>
              <w:br/>
              <w:t>(Liabilities)</w:t>
              <w:br/>
              <w:t>Presented</w:t>
            </w:r>
            <w:r>
              <w:rPr>
                <w:rFonts w:ascii="Times New Roman" w:hAnsi="Times New Roman"/>
                <w:color w:val="000000"/>
                <w:sz w:val="16"/>
              </w:rPr>
              <w:t xml:space="preserve"> </w:t>
            </w:r>
            <w:r>
              <w:rPr>
                <w:rFonts w:ascii="Times New Roman" w:hAnsi="Times New Roman"/>
                <w:b/>
                <w:color w:val="000000"/>
                <w:sz w:val="16"/>
              </w:rPr>
              <w:t>in the</w:t>
              <w:br/>
              <w:t>Statement</w:t>
              <w:br/>
              <w:t>of Financial</w:t>
              <w:br/>
              <w:t>Position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w:t>
              <w:br/>
              <w:t>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br/>
              <w:t>Collateral</w:t>
              <w:b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asset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assets included in deferred charges and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liabilities included in other long-term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asset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assets included in deferred charges and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liability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2"/>
        <w:gridCol w:w="146"/>
        <w:gridCol w:w="1645"/>
        <w:gridCol w:w="146"/>
        <w:gridCol w:w="314"/>
        <w:gridCol w:w="939"/>
        <w:gridCol w:w="194"/>
        <w:gridCol w:w="326"/>
        <w:gridCol w:w="884"/>
        <w:gridCol w:w="166"/>
        <w:gridCol w:w="290"/>
        <w:gridCol w:w="1012"/>
        <w:gridCol w:w="184"/>
        <w:gridCol w:w="290"/>
        <w:gridCol w:w="1012"/>
        <w:gridCol w:w="215"/>
      </w:tblGrid>
      <w:tr>
        <w:trPr/>
        <w:tc>
          <w:tcPr>
            <w:tcW w:w="2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Effect of Derivative Instruments on the Statement of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(Gain) or Loss Recognized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(Gain) or Loss Recognized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Not Designated as Hedging Instruments Under FASB ASC 815-10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 of (Gain) or Loss</w:t>
              <w:br/>
              <w:t>Recognized in Income on Derivative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b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b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b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installations and service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Delivery and branch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 decrease in the fair</w:t>
              <w:br/>
              <w:t> value of derivative instruments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Represents realized closed positions and includes the cost of options as they expire.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the change in value of unrealized open positions and expired options. </w:t>
      </w:r>
    </w:p>
    <w:p>
      <w:pPr>
        <w:pStyle w:val="TextBody"/>
        <w:bidi w:val="0"/>
        <w:spacing w:before="360" w:after="283"/>
        <w:jc w:val="left"/>
        <w:rPr>
          <w:rFonts w:ascii="Times New Roman" w:hAnsi="Times New Roman"/>
          <w:sz w:val="20"/>
        </w:rPr>
      </w:pPr>
      <w:r>
        <w:rPr>
          <w:rFonts w:ascii="Times New Roman" w:hAnsi="Times New Roman"/>
          <w:b/>
          <w:color w:val="000000"/>
          <w:sz w:val="20"/>
        </w:rPr>
        <w:t>7) 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product inventories are stated at the lower of cost and net realizable value computed on the weighted average cost method. All other inventories, representing parts and equipment are stated at the lower of cost and net realizable value using the FIFO method. The components of inventory were as follows (in thousands): </w:t>
      </w:r>
    </w:p>
    <w:p>
      <w:pPr>
        <w:pStyle w:val="TextBody"/>
        <w:bidi w:val="0"/>
        <w:jc w:val="left"/>
        <w:rPr/>
      </w:pPr>
      <w:r>
        <w:rPr/>
        <w:t> </w:t>
      </w:r>
    </w:p>
    <w:tbl>
      <w:tblPr>
        <w:tblW w:w="4427" w:type="dxa"/>
        <w:jc w:val="left"/>
        <w:tblInd w:w="0" w:type="dxa"/>
        <w:tblLayout w:type="fixed"/>
        <w:tblCellMar>
          <w:top w:w="28" w:type="dxa"/>
          <w:left w:w="28" w:type="dxa"/>
          <w:bottom w:w="28" w:type="dxa"/>
          <w:right w:w="28" w:type="dxa"/>
        </w:tblCellMar>
      </w:tblPr>
      <w:tblGrid>
        <w:gridCol w:w="1771"/>
        <w:gridCol w:w="146"/>
        <w:gridCol w:w="211"/>
        <w:gridCol w:w="676"/>
        <w:gridCol w:w="146"/>
        <w:gridCol w:w="146"/>
        <w:gridCol w:w="271"/>
        <w:gridCol w:w="869"/>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Depreciation and amortization is computed over the estimated useful lives of the depreciable assets using the straight-line method (in thousands): </w:t>
      </w:r>
    </w:p>
    <w:p>
      <w:pPr>
        <w:pStyle w:val="TextBody"/>
        <w:bidi w:val="0"/>
        <w:jc w:val="left"/>
        <w:rPr/>
      </w:pPr>
      <w:r>
        <w:rPr/>
        <w:t> </w:t>
      </w:r>
    </w:p>
    <w:tbl>
      <w:tblPr>
        <w:tblW w:w="7072" w:type="dxa"/>
        <w:jc w:val="left"/>
        <w:tblInd w:w="0" w:type="dxa"/>
        <w:tblLayout w:type="fixed"/>
        <w:tblCellMar>
          <w:top w:w="28" w:type="dxa"/>
          <w:left w:w="28" w:type="dxa"/>
          <w:bottom w:w="28" w:type="dxa"/>
          <w:right w:w="28" w:type="dxa"/>
        </w:tblCellMar>
      </w:tblPr>
      <w:tblGrid>
        <w:gridCol w:w="4111"/>
        <w:gridCol w:w="146"/>
        <w:gridCol w:w="211"/>
        <w:gridCol w:w="781"/>
        <w:gridCol w:w="146"/>
        <w:gridCol w:w="146"/>
        <w:gridCol w:w="242"/>
        <w:gridCol w:w="898"/>
        <w:gridCol w:w="3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Business Combinations and Divestitures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2026, the Company acquired one heating oil business for approximately $1.0 million in cash. The gross purchase price was allocated $1.2 million to intangible assets, $0.6 million to goodwill, $0.3 million to fixed assets and reduced by $1.1 million of negative net working capital. The acquired company's operating results are included in the Company’s consolidated financial statements starting on its acquisition date, and are not material to the Company’s financial condition, results of operations, or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2025, the Company acquired one heating oil and three propane businesses for approximately $80.5 million in cash. The gross purchase price was allocated $38.7 million to intangible assets, $17.7 million to goodwill, $25.2 million to fixed assets and reduced by $1.1 million of negative working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2025, the Company acquired certain intangible and fixed assets for $7.7 million and sold certain assets for cash proceeds of $0.3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Goodwill and Intangible Assets, net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changes in Company’s goodwill is as follows (in thousands):</w:t>
      </w:r>
    </w:p>
    <w:p>
      <w:pPr>
        <w:pStyle w:val="TextBody"/>
        <w:bidi w:val="0"/>
        <w:jc w:val="left"/>
        <w:rPr/>
      </w:pPr>
      <w:r>
        <w:rPr/>
        <w:t> </w:t>
      </w:r>
    </w:p>
    <w:tbl>
      <w:tblPr>
        <w:tblW w:w="5000" w:type="dxa"/>
        <w:jc w:val="left"/>
        <w:tblInd w:w="0" w:type="dxa"/>
        <w:tblLayout w:type="fixed"/>
        <w:tblCellMar>
          <w:top w:w="28" w:type="dxa"/>
          <w:left w:w="28" w:type="dxa"/>
          <w:bottom w:w="28" w:type="dxa"/>
          <w:right w:w="28" w:type="dxa"/>
        </w:tblCellMar>
      </w:tblPr>
      <w:tblGrid>
        <w:gridCol w:w="3471"/>
        <w:gridCol w:w="146"/>
        <w:gridCol w:w="211"/>
        <w:gridCol w:w="781"/>
        <w:gridCol w:w="391"/>
      </w:tblGrid>
      <w:tr>
        <w:trPr/>
        <w:tc>
          <w:tcPr>
            <w:tcW w:w="3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Fiscal year 2026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Intangibles,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gross carrying amount and accumulated amortization of intangible assets subject to amortization are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8"/>
        <w:gridCol w:w="146"/>
        <w:gridCol w:w="211"/>
        <w:gridCol w:w="781"/>
        <w:gridCol w:w="146"/>
        <w:gridCol w:w="146"/>
        <w:gridCol w:w="229"/>
        <w:gridCol w:w="852"/>
        <w:gridCol w:w="146"/>
        <w:gridCol w:w="146"/>
        <w:gridCol w:w="211"/>
        <w:gridCol w:w="781"/>
        <w:gridCol w:w="146"/>
        <w:gridCol w:w="146"/>
        <w:gridCol w:w="211"/>
        <w:gridCol w:w="781"/>
        <w:gridCol w:w="146"/>
        <w:gridCol w:w="146"/>
        <w:gridCol w:w="229"/>
        <w:gridCol w:w="852"/>
        <w:gridCol w:w="146"/>
        <w:gridCol w:w="146"/>
        <w:gridCol w:w="211"/>
        <w:gridCol w:w="781"/>
        <w:gridCol w:w="191"/>
      </w:tblGrid>
      <w:tr>
        <w:trPr/>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 and other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for intangible assets was $14.1 million for the nine months ended June 30, 2026, compared to $14.8 million for the nine months ended June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Long-Term Debt and Bank Facility Borrowings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debt is as follows (in thousands): </w:t>
      </w:r>
    </w:p>
    <w:tbl>
      <w:tblPr>
        <w:tblW w:w="8688" w:type="dxa"/>
        <w:jc w:val="left"/>
        <w:tblInd w:w="0" w:type="dxa"/>
        <w:tblLayout w:type="fixed"/>
        <w:tblCellMar>
          <w:top w:w="28" w:type="dxa"/>
          <w:left w:w="28" w:type="dxa"/>
          <w:bottom w:w="28" w:type="dxa"/>
          <w:right w:w="28" w:type="dxa"/>
        </w:tblCellMar>
      </w:tblPr>
      <w:tblGrid>
        <w:gridCol w:w="3211"/>
        <w:gridCol w:w="146"/>
        <w:gridCol w:w="211"/>
        <w:gridCol w:w="781"/>
        <w:gridCol w:w="146"/>
        <w:gridCol w:w="146"/>
        <w:gridCol w:w="242"/>
        <w:gridCol w:w="898"/>
        <w:gridCol w:w="146"/>
        <w:gridCol w:w="146"/>
        <w:gridCol w:w="211"/>
        <w:gridCol w:w="781"/>
        <w:gridCol w:w="146"/>
        <w:gridCol w:w="146"/>
        <w:gridCol w:w="242"/>
        <w:gridCol w:w="898"/>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portion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portion of debt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face amount of the Company’s variable rate long-term debt approximates fair value.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sz w:val="24"/>
        </w:rPr>
      </w:pPr>
      <w:r>
        <w:rPr>
          <w:rFonts w:ascii="Times New Roman" w:hAnsi="Times New Roman"/>
          <w:color w:val="000000"/>
          <w:sz w:val="20"/>
        </w:rPr>
        <w:t>Carrying amounts are net of unamortized debt issuance costs of $0.7</w:t>
      </w:r>
      <w:r>
        <w:rPr>
          <w:rFonts w:ascii="Times New Roman" w:hAnsi="Times New Roman"/>
          <w:color w:val="000000"/>
          <w:sz w:val="24"/>
        </w:rPr>
        <w:t xml:space="preserve"> </w:t>
      </w:r>
      <w:r>
        <w:rPr>
          <w:rFonts w:ascii="Times New Roman" w:hAnsi="Times New Roman"/>
          <w:color w:val="000000"/>
          <w:sz w:val="20"/>
        </w:rPr>
        <w:t>million as of June 30, 2026, and $0.9</w:t>
      </w:r>
      <w:r>
        <w:rPr>
          <w:rFonts w:ascii="Times New Roman" w:hAnsi="Times New Roman"/>
          <w:color w:val="000000"/>
          <w:sz w:val="24"/>
        </w:rPr>
        <w:t xml:space="preserve"> </w:t>
      </w:r>
      <w:r>
        <w:rPr>
          <w:rFonts w:ascii="Times New Roman" w:hAnsi="Times New Roman"/>
          <w:color w:val="000000"/>
          <w:sz w:val="20"/>
        </w:rPr>
        <w:t>million as of September 30, 2025.</w:t>
      </w:r>
    </w:p>
    <w:p>
      <w:pPr>
        <w:pStyle w:val="TextBody"/>
        <w:bidi w:val="0"/>
        <w:jc w:val="left"/>
        <w:rPr>
          <w:rFonts w:ascii="Times New Roman" w:hAnsi="Times New Roman"/>
          <w:color w:val="000000"/>
          <w:sz w:val="20"/>
        </w:rPr>
      </w:pPr>
      <w:r>
        <w:rPr>
          <w:rFonts w:ascii="Times New Roman" w:hAnsi="Times New Roman"/>
          <w:color w:val="000000"/>
          <w:sz w:val="20"/>
        </w:rPr>
        <w:t>On September 27, 2024, the Company refinanced its five-year term loan and the revolving credit facility with the execution of the seventh amended and restated revolving credit facility agreement (the “credit agreement”) with a bank syndicate comprised of ten participants, which enables the Company to borrow up to $400 million ($475 million during the heating season of December through April of each year) on a revolving credit facility for working capital purposes (subject to certain borrowing base limitations and coverage ratios), provides for a $210 million five-year senior secured term loan (“Term Loan”), allows for the issuance of up to $25 million in letters of credit, and has a maturity date of September 27,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can increase the revolving credit facility size by $200 million without the consent of the bank group. However, the bank group is not obligated to fund the $200 million increase. If the bank group elects not to fund the increase, the Company can add additional lenders to the group, with the consent of the Agent, which shall not be unreasonably withheld. Obligations under the credit agreement are guaranteed by the Company and its subsidiaries and are secured by liens on substantially all of the Company’s assets including accounts receivable, inventory, general intangibles, real property, fixtures and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amounts outstanding under the credit agreement become due and payable on the facility termination date of September 27, 2029. The Term Loan is repayable in quarterly payments of $5.3 million, plus an annual payment equal to 25% of the annual Excess Cash Flow as defined in the credit agreement (an amount not to exceed $4.0 million annually), less certain voluntary prepayments made during the year, with final payment at maturity. The Company was not required to make additional term loan repayments due to Excess Cash Flow for the fiscal year ended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interest rate on the revolving credit facility and the term loan is based on a margin over Adjusted Term Secured Overnight Financing Rate ("SOFR") or a base rate. At June 30, 2026, the effective interest rate on the term loan (considering the impact of interest rate hedges) and revolving credit facility borrowings was approximately 6.7% and 5.9%, respectively, compared to 7.1% and 6.4%, respectively at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commitment fee on the unused portion of the revolving credit facility is 0.30% from December through April, and 0.20% from May through November.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requires the Company to meet certain financial covenants, including a fixed charge coverage ratio of 1.10 if Availability (as defined in the credit agreement) is less than the greater of (a) 12.5% of the Line Cap (lesser of the aggregate revolving commitment and the borrowing base) which was $29.1 million as of June 30, 2026, and (b) $35.0 million. In addition, as long as the Term Loan is outstanding, a senior secured leverage ratio cannot be more than 3.0 as calculated as of the quarters ending June or September, and no more than 5.5 as calculated as of the quarters ending December or March.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restrictions are also imposed by the credit agreement, including restrictions on the Company’s ability to incur additional indebtedness, to pay distributions to unitholders, to pay certain inter-company dividends or distributions, repurchase units, make investments, grant liens, sell assets, make acquisitions and engage in certain other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$173.3 million of the Term Loan was outstanding, no borrowings were outstanding under the revolving credit facility, no hedge positions were secured under the credit agreement, and $3.0 million of letters of credit were issued and outstanding. At September 30, 2025, $189.0 million of the term loan was outstanding, no borrowings were outstanding under the revolving credit facility, $1.3 million hedge positions were secured under the credit agreement and $5.1 million of letters of credit were issued and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availability was $229.9 million, and the Company was in compliance with the financial covenants. At September 30, 2025, availability was $165.0 million, and the Company was in compliance with the financial covenants. The amount of availability is impacted by several factors, including outstanding debt, the valuation of our customer list, and accounts receivable and inventory balances. Each year, during the third quarter, the valuation of our customer list is re-evaluated based on the Company's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was signed into law in the U.S., which contains several changes to corporate taxation including changes to depreciation deductions, deductions for interest expense and reinstating 100% bonus depreciation on fixed assets acquired and placed in service after January 19,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are reported on a fiscal year, however, the Company and its corporate subsidiaries file Federal and State income tax returns on a calendar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and deferred income tax expense for the three and nine months ended June 30, 2026, and June 30, 2025, are as follows: </w:t>
      </w:r>
    </w:p>
    <w:p>
      <w:pPr>
        <w:pStyle w:val="TextBody"/>
        <w:bidi w:val="0"/>
        <w:jc w:val="left"/>
        <w:rPr/>
      </w:pPr>
      <w:r>
        <w:rPr/>
        <w:t> </w:t>
      </w:r>
    </w:p>
    <w:tbl>
      <w:tblPr>
        <w:tblW w:w="8327" w:type="dxa"/>
        <w:jc w:val="left"/>
        <w:tblInd w:w="0" w:type="dxa"/>
        <w:tblLayout w:type="fixed"/>
        <w:tblCellMar>
          <w:top w:w="28" w:type="dxa"/>
          <w:left w:w="28" w:type="dxa"/>
          <w:bottom w:w="28" w:type="dxa"/>
          <w:right w:w="28" w:type="dxa"/>
        </w:tblCellMar>
      </w:tblPr>
      <w:tblGrid>
        <w:gridCol w:w="3196"/>
        <w:gridCol w:w="146"/>
        <w:gridCol w:w="211"/>
        <w:gridCol w:w="736"/>
        <w:gridCol w:w="166"/>
        <w:gridCol w:w="146"/>
        <w:gridCol w:w="211"/>
        <w:gridCol w:w="736"/>
        <w:gridCol w:w="166"/>
        <w:gridCol w:w="146"/>
        <w:gridCol w:w="211"/>
        <w:gridCol w:w="781"/>
        <w:gridCol w:w="146"/>
        <w:gridCol w:w="146"/>
        <w:gridCol w:w="211"/>
        <w:gridCol w:w="781"/>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June 30, 2026, we did not have unrecognized income tax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continuing practice is to recognize interest and penalties related to income tax matters as a component of income tax expense. We file U.S. Federal income tax returns and various state and local returns. A number of years may elapse before an uncertain tax position is audited and finally resolved. For our Federal income tax returns we have four tax years subject to examination. In our major state tax jurisdictions of New York, Connecticut and Pennsylvania, we have four years that are subject to examination. In the state tax jurisdiction of New Jersey we have five tax years that are subject to examination. While it is often difficult to predict the final outcome or the timing of resolution of any particular uncertain tax position, based on our assessment of many factors, including past experience and interpretation of tax law, we believe that our provision for income taxes reflect the most probable outcome. This assessment relies on estimates and assumptions and may involve a series of complex judgments about future events. </w:t>
      </w:r>
    </w:p>
    <w:p>
      <w:pPr>
        <w:pStyle w:val="TextBody"/>
        <w:bidi w:val="0"/>
        <w:spacing w:before="360" w:after="120"/>
        <w:jc w:val="left"/>
        <w:rPr>
          <w:rFonts w:ascii="Times New Roman" w:hAnsi="Times New Roman"/>
          <w:sz w:val="20"/>
        </w:rPr>
      </w:pPr>
      <w:r>
        <w:rPr>
          <w:rFonts w:ascii="Times New Roman" w:hAnsi="Times New Roman"/>
          <w:b/>
          <w:color w:val="000000"/>
          <w:sz w:val="20"/>
        </w:rPr>
        <w:t>13) Supplemental Disclosure of Cash Flow Information</w:t>
      </w:r>
      <w:r>
        <w:rPr>
          <w:rFonts w:ascii="Times New Roman" w:hAnsi="Times New Roman"/>
          <w:color w:val="000000"/>
          <w:sz w:val="20"/>
        </w:rPr>
        <w:t xml:space="preserve"> </w:t>
      </w:r>
    </w:p>
    <w:tbl>
      <w:tblPr>
        <w:tblW w:w="4879" w:type="dxa"/>
        <w:jc w:val="left"/>
        <w:tblInd w:w="0" w:type="dxa"/>
        <w:tblLayout w:type="fixed"/>
        <w:tblCellMar>
          <w:top w:w="28" w:type="dxa"/>
          <w:left w:w="28" w:type="dxa"/>
          <w:bottom w:w="28" w:type="dxa"/>
          <w:right w:w="28" w:type="dxa"/>
        </w:tblCellMar>
      </w:tblPr>
      <w:tblGrid>
        <w:gridCol w:w="2476"/>
        <w:gridCol w:w="146"/>
        <w:gridCol w:w="211"/>
        <w:gridCol w:w="676"/>
        <w:gridCol w:w="146"/>
        <w:gridCol w:w="146"/>
        <w:gridCol w:w="211"/>
        <w:gridCol w:w="67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14)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operations are subject to the operating hazards and risks normally incidental to handling, storing and transporting and otherwise providing for use by consumers hazardous liquids such as home heating oil and propane. In the ordinary course of business, the Company is a defendant in various legal proceedings and litigation. The Company records a liability when it is probable that a loss has been incurred and the amount is reasonably estimable. We do not believe these matters, when considered individually or in the aggregate, could reasonably be expected to have a material adverse effect on the Company’s results of operations, financial position or liquidity.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insurance policies with insurers in amounts and with coverages and deductibles we believe are reasonable and prudent. However, the Company cannot assure that this insurance will be adequate to protect it from all material expenses related to current and potential future claims, legal proceedings and litigation, as certain types of claims may be excluded from our insurance coverage. If we incur substantial liability and the damages are not covered by insurance, or are in excess of policy limits, or if we incur liability at a time when we are not able to obtain liability insurance, then our business, results of operations and financial condition could be materially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15) Earnings Per Limited Partner Unit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net income allocation and per unit data: </w:t>
      </w:r>
    </w:p>
    <w:p>
      <w:pPr>
        <w:pStyle w:val="TextBody"/>
        <w:bidi w:val="0"/>
        <w:jc w:val="left"/>
        <w:rPr/>
      </w:pPr>
      <w:r>
        <w:rPr/>
        <w:t> </w:t>
      </w:r>
    </w:p>
    <w:tbl>
      <w:tblPr>
        <w:tblW w:w="10189" w:type="dxa"/>
        <w:jc w:val="left"/>
        <w:tblInd w:w="0" w:type="dxa"/>
        <w:tblLayout w:type="fixed"/>
        <w:tblCellMar>
          <w:top w:w="28" w:type="dxa"/>
          <w:left w:w="28" w:type="dxa"/>
          <w:bottom w:w="28" w:type="dxa"/>
          <w:right w:w="28" w:type="dxa"/>
        </w:tblCellMar>
      </w:tblPr>
      <w:tblGrid>
        <w:gridCol w:w="5296"/>
        <w:gridCol w:w="146"/>
        <w:gridCol w:w="211"/>
        <w:gridCol w:w="736"/>
        <w:gridCol w:w="166"/>
        <w:gridCol w:w="211"/>
        <w:gridCol w:w="736"/>
        <w:gridCol w:w="166"/>
        <w:gridCol w:w="211"/>
        <w:gridCol w:w="781"/>
        <w:gridCol w:w="146"/>
        <w:gridCol w:w="211"/>
        <w:gridCol w:w="781"/>
        <w:gridCol w:w="39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Basic and Diluted Earnings Per Limited 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unit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General Partner’s interest in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available to limited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dilutive impact of theoretical distribution of earnings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Limited Partner’s interest in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Per unit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income (loss) available to limited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dilutive impact of theoretical distribution of earnings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Limited Partner’s interest in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Limited Partner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br/>
        <w:t>* In any accounting period where the Company’s aggregate net income exceeds its aggregate distribution for such period, the Company is required to present net income per Limited Partner unit as if all of the earnings for the period were distributed, based on the terms of the Partnership agreement, regardless of whether those earnings would actually be distributed during a particular period from an economic or practical perspective. This allocation does not impact the Company’s overall net income or other financial results.</w:t>
      </w:r>
    </w:p>
    <w:p>
      <w:pPr>
        <w:pStyle w:val="TextBody"/>
        <w:bidi w:val="0"/>
        <w:spacing w:before="360" w:after="283"/>
        <w:jc w:val="left"/>
        <w:rPr>
          <w:rFonts w:ascii="Times New Roman" w:hAnsi="Times New Roman"/>
          <w:sz w:val="20"/>
        </w:rPr>
      </w:pPr>
      <w:r>
        <w:rPr>
          <w:rFonts w:ascii="Times New Roman" w:hAnsi="Times New Roman"/>
          <w:b/>
          <w:color w:val="000000"/>
          <w:sz w:val="20"/>
        </w:rPr>
        <w:t>16) 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a single operating and reportable segment, which is managed on a consolidated basis. Revenues are primarily derived from the sale of petroleum products, heating and air conditioning equipment, and related repair, maintenance, and other services. See Note 3 – Revenue Recognition for additional information.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Company’s Chief Operating Decision Maker (“CODM”) is its Chief Executive Officer (“CEO”). The CODM makes key operating decisions and primarily evaluates financial performance based on Adjusted EBITDA, defined as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The CODM reviews net income and Adjusted EBITDA on a monthly basis to monitor performance, compare actual results to budgets and forecasts, and assess overall operating effectiveness. The CODM also monitors significant expenses, including: cost of product, cost of installations and service, general and administrative expenses as well as components of delivery and branch expenses.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the Company has only one reportable segment, the amounts reported in the consolidated financial statements also represent the segment information, including total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following table sets forth our segment financial information:</w:t>
      </w:r>
    </w:p>
    <w:tbl>
      <w:tblPr>
        <w:tblW w:w="10205" w:type="dxa"/>
        <w:jc w:val="left"/>
        <w:tblInd w:w="0" w:type="dxa"/>
        <w:tblLayout w:type="fixed"/>
        <w:tblCellMar>
          <w:top w:w="28" w:type="dxa"/>
          <w:left w:w="28" w:type="dxa"/>
          <w:bottom w:w="28" w:type="dxa"/>
          <w:right w:w="28" w:type="dxa"/>
        </w:tblCellMar>
      </w:tblPr>
      <w:tblGrid>
        <w:gridCol w:w="4264"/>
        <w:gridCol w:w="146"/>
        <w:gridCol w:w="211"/>
        <w:gridCol w:w="781"/>
        <w:gridCol w:w="166"/>
        <w:gridCol w:w="146"/>
        <w:gridCol w:w="211"/>
        <w:gridCol w:w="781"/>
        <w:gridCol w:w="166"/>
        <w:gridCol w:w="146"/>
        <w:gridCol w:w="211"/>
        <w:gridCol w:w="931"/>
        <w:gridCol w:w="166"/>
        <w:gridCol w:w="146"/>
        <w:gridCol w:w="211"/>
        <w:gridCol w:w="931"/>
        <w:gridCol w:w="591"/>
      </w:tblGrid>
      <w:tr>
        <w:trPr/>
        <w:tc>
          <w:tcPr>
            <w:tcW w:w="4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Petroleum products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Home heating oil and propane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1,046,864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Motor fuel and other petroleum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Total petroleum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Installations and service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installations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Total installations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1,536,726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installations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Delivery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Operations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Garage and plant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Customer service and credit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Insurance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Information technology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Weather hedge contracts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charge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decrease in the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17) Subsequent Events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Quarterly Distribution Declared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2026, we declared a quarterly distribution of $0.1975 per unit, or $0.79 per unit on an annualized basis, on all Common Units with respect to the third quarter of fiscal 2026, paid on August 5, 2026, to holders of record on July 27, 2026. The amount of distributions in excess of the minimum quarterly distribution of $0.0675 are distributed in accordance with our Partnership Agreement, subject to the management incentive compensation plan. As a result, $6.5 million was paid to the Common Unit holders, $0.5 million to the General Partner unit holders (including $0.4 million of incentive distribution as provided in our Partnership Agreement) and $0.4 million to management pursuant to the management incentive compensation plan which provides for certain members of management to receive incentive distributions that would otherwise be payable to the General Partner.</w:t>
      </w:r>
    </w:p>
    <w:p>
      <w:pPr>
        <w:pStyle w:val="TextBody"/>
        <w:bidi w:val="0"/>
        <w:spacing w:before="240" w:after="283"/>
        <w:jc w:val="left"/>
        <w:rPr>
          <w:rFonts w:ascii="Times New Roman" w:hAnsi="Times New Roman"/>
          <w:i/>
          <w:color w:val="000000"/>
          <w:sz w:val="20"/>
        </w:rPr>
      </w:pPr>
      <w:bookmarkStart w:id="11" w:name="notes_to_fs_end"/>
      <w:bookmarkEnd w:id="11"/>
      <w:r>
        <w:rPr>
          <w:rFonts w:ascii="Times New Roman" w:hAnsi="Times New Roman"/>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June 30, 2026, the Company purchased the customer list and assets of a heating oil business for approximately $2.0 million before working capital adjustments.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item_2"/>
      <w:bookmarkEnd w:id="12"/>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MANAGEMENT’S DISCUSSION AND ANALYSIS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Statement Regarding Forward-Looking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(this “Report”) includes “forward-looking statements” which represent our expectations or beliefs concerning future events that involve risks and uncertainties, including the impact of geopolitical events, such as the ongoing military conflicts in the Middle East, on wholesale product cost volatility,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future global health pandemics, recessionary economic conditions, future union relations and the outcome of current and future union negotiations, the impact of current and future governmental regulations, including federal, state and municipal laws restricting greenhouse gases ("GHG") emissions and federal, state and local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and actual results may differ materially from those projected as a result of certain risks and uncertainties. These risks and uncertainties include, but are not limited to, those set forth in this Report under the headings “Risk Factors” and “Management’s Discussion and Analysis of Financial Condition and Results of Operations” and in our Fiscal 2025 Form 10-K under Part I Item 1A “Risk Factors.” Important factors that could cause actual results to differ materially from our expectations (“Cautionary Statements”) are disclosed in this Report and in our Fiscal 2025 Form 10-K. All subsequent written and oral forward-looking statements attributable to the Company or persons acting on its behalf are expressly qualified in their entirety by the Cautionary Statements. Unless otherwise required by law, we undertake no obligation to update or revise any forward-looking statements, whether as a result of new information, future events or otherwise after the date of this Report.</w:t>
      </w:r>
    </w:p>
    <w:p>
      <w:pPr>
        <w:pStyle w:val="TextBody"/>
        <w:bidi w:val="0"/>
        <w:spacing w:before="360" w:after="283"/>
        <w:jc w:val="left"/>
        <w:rPr>
          <w:rFonts w:ascii="Times New Roman" w:hAnsi="Times New Roman"/>
          <w:sz w:val="20"/>
        </w:rPr>
      </w:pPr>
      <w:r>
        <w:rPr>
          <w:rFonts w:ascii="Times New Roman" w:hAnsi="Times New Roman"/>
          <w:b/>
          <w:color w:val="000000"/>
          <w:sz w:val="20"/>
        </w:rPr>
        <w:t>Liquid Product Price Volatility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which is reflected in the wholesale price of liquid products, including home heating oil, propane and motor fuels, has a larger impact on our business when prices rise. Our customers are sensitive to wholesale product cost increases, and this often leads to customer conservation and increased gross customer losses. As a commodity, the price of the products that we sell is generally impacted by many factors, including economic and geopolitical forces and is closely linked to the price of diesel fuel. The volatility in the wholesale cost of diesel fuel as measured by the New York Mercantile Exchange (“NYMEX”), for the fiscal years ending September 30, 2022, through 2026, on a quarterly basis, is illustrated in the following chart (price per gallon): </w:t>
      </w:r>
    </w:p>
    <w:p>
      <w:pPr>
        <w:pStyle w:val="TextBody"/>
        <w:bidi w:val="0"/>
        <w:jc w:val="left"/>
        <w:rPr/>
      </w:pPr>
      <w:r>
        <w:rPr/>
        <w:t> </w:t>
      </w:r>
    </w:p>
    <w:tbl>
      <w:tblPr>
        <w:tblW w:w="10711" w:type="dxa"/>
        <w:jc w:val="left"/>
        <w:tblInd w:w="0" w:type="dxa"/>
        <w:tblLayout w:type="fixed"/>
        <w:tblCellMar>
          <w:top w:w="28" w:type="dxa"/>
          <w:left w:w="28" w:type="dxa"/>
          <w:bottom w:w="28" w:type="dxa"/>
          <w:right w:w="28" w:type="dxa"/>
        </w:tblCellMar>
      </w:tblPr>
      <w:tblGrid>
        <w:gridCol w:w="976"/>
        <w:gridCol w:w="146"/>
        <w:gridCol w:w="211"/>
        <w:gridCol w:w="466"/>
        <w:gridCol w:w="146"/>
        <w:gridCol w:w="146"/>
        <w:gridCol w:w="211"/>
        <w:gridCol w:w="466"/>
        <w:gridCol w:w="146"/>
        <w:gridCol w:w="146"/>
        <w:gridCol w:w="211"/>
        <w:gridCol w:w="466"/>
        <w:gridCol w:w="146"/>
        <w:gridCol w:w="146"/>
        <w:gridCol w:w="211"/>
        <w:gridCol w:w="466"/>
        <w:gridCol w:w="146"/>
        <w:gridCol w:w="146"/>
        <w:gridCol w:w="211"/>
        <w:gridCol w:w="466"/>
        <w:gridCol w:w="146"/>
        <w:gridCol w:w="146"/>
        <w:gridCol w:w="211"/>
        <w:gridCol w:w="466"/>
        <w:gridCol w:w="146"/>
        <w:gridCol w:w="146"/>
        <w:gridCol w:w="211"/>
        <w:gridCol w:w="466"/>
        <w:gridCol w:w="146"/>
        <w:gridCol w:w="146"/>
        <w:gridCol w:w="211"/>
        <w:gridCol w:w="466"/>
        <w:gridCol w:w="146"/>
        <w:gridCol w:w="146"/>
        <w:gridCol w:w="211"/>
        <w:gridCol w:w="466"/>
        <w:gridCol w:w="146"/>
        <w:gridCol w:w="146"/>
        <w:gridCol w:w="211"/>
        <w:gridCol w:w="466"/>
        <w:gridCol w:w="1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2026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Quarter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On July 31, 2026, the NYMEX ultra low sulfur diesel contract closed at $4.12 per gallon.</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On February 28, 2026, the United States launched a joint military operation with Israel against Iran. After which, the wholesale prices of the products that we sell became more volatile and we experienced a significant increase in the cost of our product. The cost of home heating oil, as measured by the New York Mercantile Exchange (“NYMEX”), increased from $2.67 per gallon on February 27, 2026, peaked at $4.61 on March 20, 2026. The significant increase in volatility drove an increase in the cost of hedging instruments used for future price protected accounts and cash requirements for our current hedged inventory. Our seasonal net working capital needs increased to fund these higher costs and contributed to the cash required to finance our operating activities. The Company believes that it may experience a slowing of collection of our accounts receivable over the next few months as our customers respond to higher product prices. Further, interest expense may increase due to higher borrowings to finance higher receivables.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 xml:space="preserve">As of June 30, 2026, and continuing into July 2026, the NYMEX heating oil futures prices were in severe backwardation (near term future prices are higher than prices for delivery further out in time). From an inventory cost perspective, backwardation has a discouraging effect on holding physical stocks. When future prices are lower than spot prices, storing heating oil becomes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 xml:space="preserve">economically unattractive. As of June 30, 2026, we had 10.0 million gallons of heating oil inventory on-hand. For our variable priced customers, selling prices may be elevated in the near term due to higher front-month prices. Per gallon margins for our price protected customers may be adversely impacted as the inventory cost could be higher than the hedge utilized to secure the margin at the time of delivery.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New Federal Income Tax Legislation</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On July 4, 2025, the One Big Beautiful Bill Act was signed into law in the U.S., which contains several changes to corporate taxation including changes to depreciation deductions, deductions for interest expense and reinstated 100% bonus depreciation on fixed assets acquired and placed in service after January 19, 2025.</w:t>
      </w:r>
    </w:p>
    <w:p>
      <w:pPr>
        <w:pStyle w:val="TextBody"/>
        <w:bidi w:val="0"/>
        <w:spacing w:before="120" w:after="283"/>
        <w:jc w:val="left"/>
        <w:rPr>
          <w:rFonts w:ascii="Times New Roman" w:hAnsi="Times New Roman"/>
          <w:sz w:val="20"/>
        </w:rPr>
      </w:pPr>
      <w:r>
        <w:rPr>
          <w:rFonts w:ascii="Times New Roman" w:hAnsi="Times New Roman"/>
          <w:i/>
          <w:color w:val="000000"/>
          <w:sz w:val="20"/>
        </w:rPr>
        <w:t>Book versus Tax Deductions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our cash flow generated in any given year depends upon a variety of factors including the amount of our cash income taxes. The amount of depreciation and amortization that we deduct for book (i.e., financial reporting) purposes differs from the amount that the Company can deduct for Federal tax purposes. The table below compares the estimated depreciation and amortization for book purposes to the amount that we expect to deduct for Federal tax purposes, based on currently owned assets. While we file our tax returns based on a calendar year, the amounts below are based on our September 30 fiscal year, and the tax amounts include any bonus depreciation available for fixed assets purchased and placed in service. However, this table only includes assets purchased to date, and does not include any forecast for future annual capital purchases. </w:t>
      </w:r>
    </w:p>
    <w:p>
      <w:pPr>
        <w:pStyle w:val="TextBody"/>
        <w:bidi w:val="0"/>
        <w:spacing w:before="132" w:after="283"/>
        <w:jc w:val="left"/>
        <w:rPr>
          <w:rFonts w:ascii="Times New Roman" w:hAnsi="Times New Roman"/>
          <w:i/>
          <w:color w:val="000000"/>
          <w:sz w:val="20"/>
        </w:rPr>
      </w:pPr>
      <w:r>
        <w:rPr>
          <w:rFonts w:ascii="Times New Roman" w:hAnsi="Times New Roman"/>
          <w:i/>
          <w:color w:val="000000"/>
          <w:sz w:val="20"/>
        </w:rPr>
        <w:t xml:space="preserve">Estimated Depreciation and Amortization Expense </w:t>
      </w:r>
    </w:p>
    <w:p>
      <w:pPr>
        <w:pStyle w:val="TextBody"/>
        <w:bidi w:val="0"/>
        <w:jc w:val="left"/>
        <w:rPr/>
      </w:pPr>
      <w:r>
        <w:rPr/>
        <w:t> </w:t>
      </w:r>
    </w:p>
    <w:tbl>
      <w:tblPr>
        <w:tblW w:w="4283" w:type="dxa"/>
        <w:jc w:val="left"/>
        <w:tblInd w:w="0" w:type="dxa"/>
        <w:tblLayout w:type="fixed"/>
        <w:tblCellMar>
          <w:top w:w="28" w:type="dxa"/>
          <w:left w:w="28" w:type="dxa"/>
          <w:bottom w:w="28" w:type="dxa"/>
          <w:right w:w="28" w:type="dxa"/>
        </w:tblCellMar>
      </w:tblPr>
      <w:tblGrid>
        <w:gridCol w:w="2026"/>
        <w:gridCol w:w="146"/>
        <w:gridCol w:w="211"/>
        <w:gridCol w:w="676"/>
        <w:gridCol w:w="146"/>
        <w:gridCol w:w="211"/>
        <w:gridCol w:w="67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Book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Weather Hedge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Weather conditions have a significant impact on the demand for home heating oil and propane because certain customers depend on these products principally for space heating purposes. Actual weather conditions may vary substantially from year to year, significantly affecting the Company’s financial performance. To partially mitigate the adverse effect of warm weather on cash flow, we have used weather hedging contracts for a number of years with several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weather hedge contracts for fiscal years 2026 and 2025. The hedge period runs from November 1 through March 31, taken as a whole. The “Payment Thresholds,” or strikes, are set at various levels and are referenced against degree days for the prior ten year average. Under these contracts, the maximum amount the Company could receive is $15.0 million and the Company is additionally obligated to make an annual payment capped at $5.0 million if degree days exceed the Payment Threshold.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temperatures experienced during the hedge periods through March 31, 2026, and March 31 2025, were colder than the strike prices in the weather hedge contracts. As a result, as of March 31, 2026, and March 31, 2025, we increased delivery and branch expense and recorded a payable under those weather hedge contracts of $5.0 million and $3.1 million, respectively. The amounts were paid in full in April 2026 and April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fiscal 2027, the Company entered into a weather hedge contract with the same hedge period as described above; November 1 through March 31. The maximum that the Company can receive is $12.5 million annually and we are not obligated to make an annual payment if degree days exceed the Payment Threshold.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Tariffs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April 2025, the U.S. government announced a baseline tariff of 10% on certain products imported from all countries and an additional individualized reciprocal tariff on some countries, including Canada and China. These tariffs terminated on February 24, 2026 following the U.S. Supreme Court’s decision in </w:t>
      </w:r>
      <w:r>
        <w:rPr>
          <w:rFonts w:ascii="Times New Roman" w:hAnsi="Times New Roman"/>
          <w:i/>
          <w:color w:val="000000"/>
          <w:sz w:val="20"/>
        </w:rPr>
        <w:t xml:space="preserve">Learning Resources, Inc. v. Trump </w:t>
      </w:r>
      <w:r>
        <w:rPr>
          <w:rFonts w:ascii="Times New Roman" w:hAnsi="Times New Roman"/>
          <w:color w:val="000000"/>
          <w:sz w:val="20"/>
        </w:rPr>
        <w:t xml:space="preserve">holding these tariffs to be unlawful. In the aftermath of the Supreme Court’s decision, the Trump administration imposed a temporary 10% global tariff on worldwide imported goods, which temporary tariffs automatically expired on July 24, 2026. The Trump administration replaced the expired temporary tariffs with a new tariff regime in reliance upon Section 301 of the Trade Act of 1976 which authorizes the president to issue tariffs if the U.S. government finds evidence that other countries engaged in unfair trade practices. Current uncertainties about tariffs and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effects on trading relationships may affect the cost and availability of the Company's assets, such as trucks, and potentially the products and services we sell as well as potentially contribute to inflation in the markets in which we operate. We are continuing to monitor the economic effects of such announcements, as well as opportunities to mitigate their related impacts, costs and other effects associated with the tariffs; however, these impacts remain uncertain.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Per Gallon Gross Profit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home heating oil and propane margins should be evaluated on a cents per gallon basis before the effects of increases or decreases in the fair value of derivative instruments, as we believe that such per gallon margins are best at showing profit trends in the underlying business without the impact of non-cash changes in the market value of hedges before the settlement of the underlying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home heating oil volume is sold to individual customers under an arrangement pre-establishing a ceiling price or fixed price for home heating oil over a set period of time, generally twelve to twenty-four months (“price-protected” customers). When these price-protected customers agree to purchase home heating oil from us for the next heating season, we purchase option contracts, swaps and futures contracts for a substantial majority of the heating oil that we expect to sell to these customers. The amount of home heating oil volume that we hedge per price-protected customer is based upon the estimated fuel consumption per average customer per month. In the event that the actual usage exceeds the amount of the hedged volume on a monthly basis, we may be required to obtain additional volume at unfavorable costs. In addition, should actual usage in any month be less than the hedged volume, our hedging costs and losses could be greater, thus reducing expected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July 31, 2026, over 92% of the hedges for our ceiling customers were at their strike price (ceiling), which reduces the potential for per gallon margin expansion for these customers unless the price for home heating oil declines.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Derivatives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FASB ASC 815-10-05 Derivatives and Hedging requires that derivative instruments be recorded at fair value and included in the consolidated balance sheet as assets or liabilities. We follow hedge accounting for our interest rate swaps; to the extent our interest rate derivative instruments designated as cash flow hedges are effective, as defined under this guidance, changes in fair value are recognized in other comprehensive income until the forecasted hedged item is recognized in earnings. We have opted out of, and do not follow hedge accounting for our commodity derivative instruments as hedging instruments, as a result, the changes in fair value of the commodity derivative instruments are recognized in our statement of operations. Therefore, we experience volatility in earnings as outstanding derivative instruments are marked-to-market and non-cash gains and losses are recorded prior to the sale of the commodity to the customer. The volatility in any given period related to unrealized non-cash gains or losses on derivative instruments can be significant to our overall results. However, we ultimately expect those gains and losses to be offset by the cost of product when purchased.</w:t>
      </w:r>
    </w:p>
    <w:p>
      <w:pPr>
        <w:pStyle w:val="TextBody"/>
        <w:bidi w:val="0"/>
        <w:spacing w:before="360" w:after="283"/>
        <w:jc w:val="left"/>
        <w:rPr>
          <w:rFonts w:ascii="Times New Roman" w:hAnsi="Times New Roman"/>
          <w:sz w:val="20"/>
        </w:rPr>
      </w:pPr>
      <w:r>
        <w:rPr>
          <w:rFonts w:ascii="Times New Roman" w:hAnsi="Times New Roman"/>
          <w:b/>
          <w:color w:val="000000"/>
          <w:sz w:val="20"/>
        </w:rPr>
        <w:t>Customer Attrition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net customer attrition on an ongoing basis for our full service residential and commercial home heating oil and propane customers. Net customer attrition is the difference between gross customer losses and customers added through marketing efforts. Customers added through acquisitions are not included in the calculation of gross customer gains. However, additional customers that are obtained through marketing efforts or lost at newly acquired businesses are included in these calculations from the point of closing going forward. Customer attrition percentage calculations include customers added through acquisitions in the denominators of the calculations on a weighted average basis from the closing date. Gross customer losses are the result of a number of factors, including price competition, move-outs, credit losses, natural gas and electric conversions and service disruptions. When a customer moves out of an existing home, we count the “move out” as a loss, and, if we are successful in signing up the new homeowner, the “move in” is treated as a gain. Customers sourced by our buying group and association partners are included in our home heating oil and propane customer base. Therefore, any changes in the relationships with these partners could impact gross customer gains and losses going forward.</w:t>
      </w:r>
    </w:p>
    <w:p>
      <w:pPr>
        <w:pStyle w:val="TextBody"/>
        <w:bidi w:val="0"/>
        <w:spacing w:before="360" w:after="283"/>
        <w:jc w:val="left"/>
        <w:rPr>
          <w:rFonts w:ascii="Times New Roman" w:hAnsi="Times New Roman"/>
          <w:sz w:val="20"/>
        </w:rPr>
      </w:pPr>
      <w:r>
        <w:rPr>
          <w:rFonts w:ascii="Times New Roman" w:hAnsi="Times New Roman"/>
          <w:b/>
          <w:color w:val="000000"/>
          <w:sz w:val="20"/>
          <w:u w:val="single"/>
        </w:rPr>
        <w:t>Customer gains and losses of home heating oil and propane customers</w:t>
      </w:r>
      <w:r>
        <w:rPr>
          <w:rFonts w:ascii="Times New Roman" w:hAnsi="Times New Roman"/>
          <w:color w:val="000000"/>
          <w:sz w:val="20"/>
        </w:rPr>
        <w:t xml:space="preserve"> </w:t>
      </w:r>
    </w:p>
    <w:p>
      <w:pPr>
        <w:pStyle w:val="TextBody"/>
        <w:bidi w:val="0"/>
        <w:jc w:val="left"/>
        <w:rPr/>
      </w:pPr>
      <w:r>
        <w:rPr/>
        <w:t> </w:t>
      </w:r>
    </w:p>
    <w:tbl>
      <w:tblPr>
        <w:tblW w:w="9504" w:type="dxa"/>
        <w:jc w:val="left"/>
        <w:tblInd w:w="0" w:type="dxa"/>
        <w:tblLayout w:type="fixed"/>
        <w:tblCellMar>
          <w:top w:w="28" w:type="dxa"/>
          <w:left w:w="28" w:type="dxa"/>
          <w:bottom w:w="28" w:type="dxa"/>
          <w:right w:w="28" w:type="dxa"/>
        </w:tblCellMar>
      </w:tblPr>
      <w:tblGrid>
        <w:gridCol w:w="1456"/>
        <w:gridCol w:w="146"/>
        <w:gridCol w:w="676"/>
        <w:gridCol w:w="146"/>
        <w:gridCol w:w="676"/>
        <w:gridCol w:w="146"/>
        <w:gridCol w:w="871"/>
        <w:gridCol w:w="146"/>
        <w:gridCol w:w="676"/>
        <w:gridCol w:w="146"/>
        <w:gridCol w:w="676"/>
        <w:gridCol w:w="146"/>
        <w:gridCol w:w="871"/>
        <w:gridCol w:w="146"/>
        <w:gridCol w:w="676"/>
        <w:gridCol w:w="146"/>
        <w:gridCol w:w="676"/>
        <w:gridCol w:w="146"/>
        <w:gridCol w:w="936"/>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(Attrition)</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(4,500)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u w:val="single"/>
        </w:rPr>
        <w:t>Customer gains (attrition) as a percentage of home heating oil and propane customer base</w:t>
      </w:r>
      <w:r>
        <w:rPr>
          <w:rFonts w:ascii="Times New Roman" w:hAnsi="Times New Roman"/>
          <w:color w:val="000000"/>
          <w:sz w:val="20"/>
        </w:rPr>
        <w:t xml:space="preserve"> </w:t>
      </w:r>
    </w:p>
    <w:p>
      <w:pPr>
        <w:pStyle w:val="TextBody"/>
        <w:bidi w:val="0"/>
        <w:jc w:val="left"/>
        <w:rPr/>
      </w:pPr>
      <w:r>
        <w:rPr/>
        <w:t> </w:t>
      </w:r>
    </w:p>
    <w:tbl>
      <w:tblPr>
        <w:tblW w:w="8899" w:type="dxa"/>
        <w:jc w:val="left"/>
        <w:tblInd w:w="0" w:type="dxa"/>
        <w:tblLayout w:type="fixed"/>
        <w:tblCellMar>
          <w:top w:w="28" w:type="dxa"/>
          <w:left w:w="28" w:type="dxa"/>
          <w:bottom w:w="28" w:type="dxa"/>
          <w:right w:w="28" w:type="dxa"/>
        </w:tblCellMar>
      </w:tblPr>
      <w:tblGrid>
        <w:gridCol w:w="1456"/>
        <w:gridCol w:w="146"/>
        <w:gridCol w:w="526"/>
        <w:gridCol w:w="146"/>
        <w:gridCol w:w="631"/>
        <w:gridCol w:w="146"/>
        <w:gridCol w:w="871"/>
        <w:gridCol w:w="146"/>
        <w:gridCol w:w="526"/>
        <w:gridCol w:w="146"/>
        <w:gridCol w:w="631"/>
        <w:gridCol w:w="146"/>
        <w:gridCol w:w="871"/>
        <w:gridCol w:w="146"/>
        <w:gridCol w:w="526"/>
        <w:gridCol w:w="146"/>
        <w:gridCol w:w="631"/>
        <w:gridCol w:w="146"/>
        <w:gridCol w:w="916"/>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(Attrition)</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For the nine months ended June 30, 2026, the Company lost 11,000 accounts (net), or 2.7% of its home heating oil and propane customer base, compared to 13,000 accounts lost (net), or 3.1% of its home heating and oil propane customer base in the prior year comparable period. Gross customer gains were 1,300 accounts higher and gross customer losses were 700 accounts lower than the prior year's comparable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2026, we estimate that we lost 1.0% of our home heating oil and propane accounts to natural gas and electricity conversions, consistent with the 1.0% and 1.1% lost for the nine months ended June 30, 2025 and 2024, respectively. Losses to natural gas and electricity in our footprint for the heating oil and propane industry could be greater or less than the Company’s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timing of acquisitions and the types of products sold by acquired companies impact year-over-year comparisons. During the nine months ended June 30, 2026, the Company acquired one heating oil business for approximately $1.0 million. During fiscal 2025, the Company acquired one heating oil and three propane businesses for approximately $80.5 million. The following tables detail the Company’s acquisition activity and the associated volume sold during the 12-month period prior to the date of acquisition.</w:t>
      </w:r>
    </w:p>
    <w:tbl>
      <w:tblPr>
        <w:tblW w:w="9706" w:type="dxa"/>
        <w:jc w:val="left"/>
        <w:tblInd w:w="0" w:type="dxa"/>
        <w:tblLayout w:type="fixed"/>
        <w:tblCellMar>
          <w:top w:w="28" w:type="dxa"/>
          <w:left w:w="28" w:type="dxa"/>
          <w:bottom w:w="28" w:type="dxa"/>
          <w:right w:w="28" w:type="dxa"/>
        </w:tblCellMar>
      </w:tblPr>
      <w:tblGrid>
        <w:gridCol w:w="1846"/>
        <w:gridCol w:w="146"/>
        <w:gridCol w:w="1636"/>
        <w:gridCol w:w="146"/>
        <w:gridCol w:w="489"/>
        <w:gridCol w:w="1926"/>
        <w:gridCol w:w="146"/>
        <w:gridCol w:w="146"/>
        <w:gridCol w:w="520"/>
        <w:gridCol w:w="1505"/>
        <w:gridCol w:w="146"/>
        <w:gridCol w:w="146"/>
        <w:gridCol w:w="146"/>
        <w:gridCol w:w="57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 of gallons)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2026 Acquisitions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 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 of 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Heating Oil and Propane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Petroleum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11" w:type="dxa"/>
        <w:jc w:val="left"/>
        <w:tblInd w:w="0" w:type="dxa"/>
        <w:tblLayout w:type="fixed"/>
        <w:tblCellMar>
          <w:top w:w="28" w:type="dxa"/>
          <w:left w:w="28" w:type="dxa"/>
          <w:bottom w:w="28" w:type="dxa"/>
          <w:right w:w="28" w:type="dxa"/>
        </w:tblCellMar>
      </w:tblPr>
      <w:tblGrid>
        <w:gridCol w:w="1846"/>
        <w:gridCol w:w="146"/>
        <w:gridCol w:w="1636"/>
        <w:gridCol w:w="146"/>
        <w:gridCol w:w="429"/>
        <w:gridCol w:w="1986"/>
        <w:gridCol w:w="146"/>
        <w:gridCol w:w="146"/>
        <w:gridCol w:w="411"/>
        <w:gridCol w:w="1614"/>
        <w:gridCol w:w="146"/>
        <w:gridCol w:w="146"/>
        <w:gridCol w:w="146"/>
        <w:gridCol w:w="67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 of gallons)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2025 Acquisitions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 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 of 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Heating Oil and Propane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Petroleum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Protected Price Account Renewals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substantial majority of the Company’s price-protected customers have agreements with us that are subject to annual renewal in the period between April and November of each fiscal year. If a significant number of these customers elect not to renew their price-protected agreements with us and do not continue as our customers under a variable price-plan, the Company’s near term profitability, liquidity and cash flow will be adversely impacted. As of July 31, 2026, the wholesale cost of home heating oil as measured by the New York Mercantile Exchange was $4.12 per gallon, approximately $1.72 per gallon higher than at July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these recent prices, our price-protected customers will be offered renewal contracts at significantly higher prices than last year, which, has adversely impacted the acceptance rate of these renewals.</w:t>
      </w:r>
    </w:p>
    <w:p>
      <w:pPr>
        <w:pStyle w:val="TextBody"/>
        <w:bidi w:val="0"/>
        <w:spacing w:before="36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fiscal year ends on September 30. All references to quarters and years, respectively, in this document are to the fiscal quarters and fiscal years unless otherwise noted. The seasonal nature of our business has resulted, on average, during the last five years, in the sale of approximately 30% of the volume of home heating oil and propane in the first fiscal quarter and 50% of the volume in the second fiscal quarter, the peak heating season. Approximately 25% of the volume of motor fuel and other petroleum products is sold in each of the four fiscal quarters. We generally realize net income during the quarters ending December and March and net losses during the quarters ending June and September. In addition, sales volume typically fluctuates from year to year in response to variations in weather, wholesale energy prices and other factors. </w:t>
      </w:r>
    </w:p>
    <w:p>
      <w:pPr>
        <w:pStyle w:val="TextBody"/>
        <w:bidi w:val="0"/>
        <w:spacing w:before="360" w:after="283"/>
        <w:jc w:val="left"/>
        <w:rPr>
          <w:rFonts w:ascii="Times New Roman" w:hAnsi="Times New Roman"/>
          <w:sz w:val="20"/>
        </w:rPr>
      </w:pPr>
      <w:r>
        <w:rPr>
          <w:rFonts w:ascii="Times New Roman" w:hAnsi="Times New Roman"/>
          <w:b/>
          <w:color w:val="000000"/>
          <w:sz w:val="20"/>
        </w:rPr>
        <w:t>Degree Day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“degree day” is an industry measurement of temperature designed to evaluate energy demand and consumption. Degree days are based on how far the average daily temperature departs from 65°F. Each degree of temperature above 65°F is counted as one cooling degree day, and each degree of temperature below 65°F is counted as one heating degree day. Degree days are accumulated each day over the course of a year and can be compared to a monthly or a long-term (multi-year) average to see if a month or a year was warmer or cooler than usual. Degree days are officially observed by the National Weather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Every ten years, the National Oceanic and Atmospheric Administration (“NOAA”) computes and publishes average meteorological statistics, including the average temperature for the last 30 years by geographical location, and the corresponding degree days. The latest and most widely used data covers the years from 1991 to 2020. Our calculations of “normal” weather are based on these published 30 year averages for heating degree days, weighted by volume for the locations where we have existing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Consolidated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discussion of the consolidated results of operations of the Company and its subsidiaries and should be read in conjunction with the historical financial and operating data and Notes thereto included elsewhere in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Three Months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Compared to the Three Months Ended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Volume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2026, retail volume of home heating oil and propane sold decreased by 3.4 million gallons, or 9.4%, to 32.8 million gallons, compared to 36.2 million gallons for the three months ended June 30, 2025. For those locations where we had existing operations during both periods, which we sometimes refer to as our “base business” (i.e., excluding acquisitions), temperatures (measured on a heating degree day basis) for the three months ended June 30, 2026, were 15.9% colder than the three months ended June 30, 2025, and 5.9% warmer than normal, as reported by NOAA. For the twelve months ended June 30, 2026, net customer attrition for the base business was 4.2%. The impact of fuel conservation, along with any period-to-period differences in delivery scheduling, the timing of accounts added or lost during the fiscal years, equipment efficiency, and other volume variances not otherwise described, are included in the chart below under the heading “Other.” An analysis of the change in the retail volume of home heating oil and propane, which is based on management’s estimates, sampling, and other mathematical calculations and certain assumptions, is found below: </w:t>
      </w:r>
    </w:p>
    <w:p>
      <w:pPr>
        <w:pStyle w:val="TextBody"/>
        <w:bidi w:val="0"/>
        <w:jc w:val="left"/>
        <w:rPr/>
      </w:pPr>
      <w:r>
        <w:rPr/>
        <w:t> </w:t>
      </w:r>
    </w:p>
    <w:tbl>
      <w:tblPr>
        <w:tblW w:w="6723" w:type="dxa"/>
        <w:jc w:val="left"/>
        <w:tblInd w:w="0" w:type="dxa"/>
        <w:tblLayout w:type="fixed"/>
        <w:tblCellMar>
          <w:top w:w="28" w:type="dxa"/>
          <w:left w:w="28" w:type="dxa"/>
          <w:bottom w:w="28" w:type="dxa"/>
          <w:right w:w="28" w:type="dxa"/>
        </w:tblCellMar>
      </w:tblPr>
      <w:tblGrid>
        <w:gridCol w:w="3751"/>
        <w:gridCol w:w="146"/>
        <w:gridCol w:w="576"/>
        <w:gridCol w:w="1839"/>
        <w:gridCol w:w="4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millions of gallons)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Heating Oil and Propane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 - 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colder temperatures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customer attrition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Lower margin COD and commercial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 - Three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During this non heating season period, degree days increased by 15.9% while average temperatures from April 1 to May 31, 2026 were just 2% colder than April 1 to May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percentage by volume of total home heating oil and propane sold to residential variable-price customers, residential price-protected customers and commercial/industrial/other customers for the three months ended June 30, 2026, compared to the three months ended June 30, 2025: </w:t>
      </w:r>
    </w:p>
    <w:p>
      <w:pPr>
        <w:pStyle w:val="TextBody"/>
        <w:bidi w:val="0"/>
        <w:jc w:val="left"/>
        <w:rPr/>
      </w:pPr>
      <w:r>
        <w:rPr/>
        <w:t> </w:t>
      </w:r>
    </w:p>
    <w:tbl>
      <w:tblPr>
        <w:tblW w:w="6930" w:type="dxa"/>
        <w:jc w:val="left"/>
        <w:tblInd w:w="0" w:type="dxa"/>
        <w:tblLayout w:type="fixed"/>
        <w:tblCellMar>
          <w:top w:w="28" w:type="dxa"/>
          <w:left w:w="28" w:type="dxa"/>
          <w:bottom w:w="28" w:type="dxa"/>
          <w:right w:w="28" w:type="dxa"/>
        </w:tblCellMar>
      </w:tblPr>
      <w:tblGrid>
        <w:gridCol w:w="4411"/>
        <w:gridCol w:w="146"/>
        <w:gridCol w:w="146"/>
        <w:gridCol w:w="574"/>
        <w:gridCol w:w="271"/>
        <w:gridCol w:w="146"/>
        <w:gridCol w:w="146"/>
        <w:gridCol w:w="574"/>
        <w:gridCol w:w="51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Home heating oil and propane volume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 Variable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 Price-Protected (Ceiling and Fixed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Commercial/Industrial/Other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Volume of motor fuel and other petroleum products sold decreased by 2.9 million gallons, or 9.2%, to 29.1 million gallons for the three months ended June 30, 2026, compared to 32.0 million gallons for the three months ended June 30,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product sales increased by $50.8 million, or 23.5%, to $267.0 million, compared to $216.2 million for the three months ended June 30, 2025, due to an increase in average selling prices that was driven by an increase in combined wholesale product cost of $1.0359 per gallon, or 48.9% calculated on a weighted average, partially offset by a decrease in total volume sold of 9.3%.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Installations and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installation and service revenue increased by $1.6 million, or 1.8%, to $91.1 million, compared to $89.5 million for the three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cost of product increased $50.7 million, or 35.1%, to $195.2 million, compared to $144.5 million for the three months ended June 30, 2025, due to an increase in combined wholesale product cost of $1.0359 per gallon, or 48.9% calculated on a weighted average basis, partially offset by a decrease in total volume sold of 9.3%. Product volumes and wholesale product cost include heating oil, propane, motor fuels and other petroleum products.</w:t>
      </w:r>
    </w:p>
    <w:p>
      <w:pPr>
        <w:pStyle w:val="TextBody"/>
        <w:bidi w:val="0"/>
        <w:spacing w:before="360" w:after="283"/>
        <w:jc w:val="left"/>
        <w:rPr>
          <w:rFonts w:ascii="Times New Roman" w:hAnsi="Times New Roman"/>
          <w:sz w:val="20"/>
        </w:rPr>
      </w:pPr>
      <w:r>
        <w:rPr>
          <w:rFonts w:ascii="Times New Roman" w:hAnsi="Times New Roman"/>
          <w:b/>
          <w:color w:val="000000"/>
          <w:sz w:val="20"/>
        </w:rPr>
        <w:t>Gross Profit — Product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calculates our per gallon margins and reconciles product gross profit for home heating oil and propane and motor fuel and other petroleum products. We believe the change in home heating oil and propane margins should be evaluated before the effects of increases or decreases in the fair value of derivative instruments, as we believe that realized per gallon margins should not include the impact of non-cash changes in the market value of hedges before the settlement of the underlying transactions. On that basis, home heating oil and propane margins, for the three months ended June 30, 2026, increased by $0.1368 per gallon, or 8.3%, to $1.7915 per gallon, from $1.6547 per gallon during the three months ended June 30, 2025. Going forward, we cannot assume that per gallon margins realized during the three months ended June 30, 2026, are sustainable especially with the volatility in heating oil and propane costs. Product sales and cost of product include home heating oil, propane, other petroleum products and liquidated damages billings.</w:t>
      </w:r>
    </w:p>
    <w:p>
      <w:pPr>
        <w:pStyle w:val="TextBody"/>
        <w:bidi w:val="0"/>
        <w:jc w:val="left"/>
        <w:rPr/>
      </w:pPr>
      <w:r>
        <w:rPr/>
        <w:t> </w:t>
      </w:r>
    </w:p>
    <w:tbl>
      <w:tblPr>
        <w:tblW w:w="7538" w:type="dxa"/>
        <w:jc w:val="left"/>
        <w:tblInd w:w="0" w:type="dxa"/>
        <w:tblLayout w:type="fixed"/>
        <w:tblCellMar>
          <w:top w:w="28" w:type="dxa"/>
          <w:left w:w="28" w:type="dxa"/>
          <w:bottom w:w="28" w:type="dxa"/>
          <w:right w:w="28" w:type="dxa"/>
        </w:tblCellMar>
      </w:tblPr>
      <w:tblGrid>
        <w:gridCol w:w="2431"/>
        <w:gridCol w:w="146"/>
        <w:gridCol w:w="259"/>
        <w:gridCol w:w="701"/>
        <w:gridCol w:w="146"/>
        <w:gridCol w:w="146"/>
        <w:gridCol w:w="211"/>
        <w:gridCol w:w="676"/>
        <w:gridCol w:w="146"/>
        <w:gridCol w:w="146"/>
        <w:gridCol w:w="259"/>
        <w:gridCol w:w="701"/>
        <w:gridCol w:w="146"/>
        <w:gridCol w:w="146"/>
        <w:gridCol w:w="211"/>
        <w:gridCol w:w="676"/>
        <w:gridCol w:w="3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Home Heating Oil and Propane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33" w:type="dxa"/>
        <w:jc w:val="left"/>
        <w:tblInd w:w="0" w:type="dxa"/>
        <w:tblLayout w:type="fixed"/>
        <w:tblCellMar>
          <w:top w:w="28" w:type="dxa"/>
          <w:left w:w="28" w:type="dxa"/>
          <w:bottom w:w="28" w:type="dxa"/>
          <w:right w:w="28" w:type="dxa"/>
        </w:tblCellMar>
      </w:tblPr>
      <w:tblGrid>
        <w:gridCol w:w="3226"/>
        <w:gridCol w:w="146"/>
        <w:gridCol w:w="259"/>
        <w:gridCol w:w="701"/>
        <w:gridCol w:w="146"/>
        <w:gridCol w:w="146"/>
        <w:gridCol w:w="211"/>
        <w:gridCol w:w="676"/>
        <w:gridCol w:w="146"/>
        <w:gridCol w:w="146"/>
        <w:gridCol w:w="299"/>
        <w:gridCol w:w="661"/>
        <w:gridCol w:w="146"/>
        <w:gridCol w:w="146"/>
        <w:gridCol w:w="211"/>
        <w:gridCol w:w="676"/>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Motor Fuel and Other Petroleum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599" w:type="dxa"/>
        <w:jc w:val="left"/>
        <w:tblInd w:w="0" w:type="dxa"/>
        <w:tblLayout w:type="fixed"/>
        <w:tblCellMar>
          <w:top w:w="28" w:type="dxa"/>
          <w:left w:w="28" w:type="dxa"/>
          <w:bottom w:w="28" w:type="dxa"/>
          <w:right w:w="28" w:type="dxa"/>
        </w:tblCellMar>
      </w:tblPr>
      <w:tblGrid>
        <w:gridCol w:w="1266"/>
        <w:gridCol w:w="146"/>
        <w:gridCol w:w="259"/>
        <w:gridCol w:w="701"/>
        <w:gridCol w:w="146"/>
        <w:gridCol w:w="146"/>
        <w:gridCol w:w="146"/>
        <w:gridCol w:w="146"/>
        <w:gridCol w:w="259"/>
        <w:gridCol w:w="701"/>
        <w:gridCol w:w="146"/>
        <w:gridCol w:w="146"/>
        <w:gridCol w:w="391"/>
      </w:tblGrid>
      <w:tr>
        <w:trPr/>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total product gross profit was $71.8 million, which was $0.1 million, or 0.2%, higher than the three months ended June 30, 2025, due to increase in home heating oil and propane margins ($4.5 million) and an increase in gross profit from other petroleum products ($1.3 million), partially offset by a decrease in home heating oil and propane volume sold ($5.7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Installations and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installation costs, for the three months ended June 30, 2026, decreased by $1.5 million or 5.5%, to $25.8 million, compared to $27.3 million of installation costs for the three months ended June 30, 2025. Installation costs as a percentage of installation sales were 78.8% for the three months ended June 30, 2026, and 82.0% for the three months ended June 30, 2025. The gross profit from installation increased by $1.0 million, compared to the three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expense increased by $1.8 million, or 3.7%, to $49.7 million for the three months ended June 30, 2026, representing 85.2% of service sales, versus $47.9 million, or 85.4% of service sales, for the three months ended June 30, 2025. A large proportion of our service expenses are incurred under fixed-fee prepaid service contract arrangements, therefore trends in service expenses may not directly correlate to trends in the related revenues. The gross profit from service increased by $0.4 million compared to the three months ended June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realized a combined gross profit from service and installation of $15.6 million for the three months ended June 30, 2026 compared to a gross profit of $14.2 million for the three months ended June 30, 2025, a $1.4 million increase.</w:t>
      </w:r>
    </w:p>
    <w:p>
      <w:pPr>
        <w:pStyle w:val="TextBody"/>
        <w:bidi w:val="0"/>
        <w:spacing w:before="360" w:after="283"/>
        <w:jc w:val="left"/>
        <w:rPr>
          <w:rFonts w:ascii="Times New Roman" w:hAnsi="Times New Roman"/>
          <w:sz w:val="20"/>
        </w:rPr>
      </w:pPr>
      <w:r>
        <w:rPr>
          <w:rFonts w:ascii="Times New Roman" w:hAnsi="Times New Roman"/>
          <w:b/>
          <w:color w:val="000000"/>
          <w:sz w:val="20"/>
        </w:rPr>
        <w:t>(Increase) Decrease in the Fair Value of Derivative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change in the fair value of derivative instruments resulted in an $8.0 million charge due to a $7.7 million charge due to the expiration of certain hedged positions and a $0.3 million decrease in the market value for unexpired hedges.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2025, the change in the fair value of derivative instruments resulted in a $0.6 million credit as a decrease in the market value for unexpired hedges (a $2.2 million charge) was more than offset by a $2.8 million credit due to the expiration of certain hedged positions.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Delivery and Branch Expenses</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June 30, 2026, delivery and branch expense increased $8.3 million, or 9.2%, to $98.9 million, compared to $90.6 million for the three months ended June 30, 2025. The increase was driven by a $6.2 million increase in insurance related expenses primarily due to adverse claims development, and $2.1 million of salaries, benefits and other net expense increases.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Depreciation and Amortization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depreciation and amortization expenses decreased $0.9 million, or 9.4%, to $8.3 million, compared to $9.2 million for the three months ended June 30, 2025, primarily due to intangible assets that fully amortized in the prior fiscal year.</w:t>
      </w:r>
    </w:p>
    <w:p>
      <w:pPr>
        <w:pStyle w:val="TextBody"/>
        <w:bidi w:val="0"/>
        <w:spacing w:before="36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xml:space="preserve"> </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For the three months ended June 30, 2026, general and administrative expenses increased by $0.4 million or 6.3%, to $8.0 million, from $7.6 million for the three months ended June 30, 2025, due primarily to a $0.3 million increase in profit sharing expense and a $0.1 million increase in salaries and benefits expenses. The Company accrues approximately 6.0% of Adjusted EBITDA as defined in its profit sharing plan for distribution to its employees. This amount is payable if/when the Company achieves Adjusted EBITDA of at least 70% of the amount budgeted. The dollar amount of the profit sharing pool adjusts accordingly based on Adjusted EBITDA levels achieved.</w:t>
      </w:r>
    </w:p>
    <w:p>
      <w:pPr>
        <w:pStyle w:val="TextBody"/>
        <w:bidi w:val="0"/>
        <w:spacing w:before="360" w:after="283"/>
        <w:jc w:val="left"/>
        <w:rPr>
          <w:rFonts w:ascii="Times New Roman" w:hAnsi="Times New Roman"/>
          <w:sz w:val="20"/>
        </w:rPr>
      </w:pPr>
      <w:r>
        <w:rPr>
          <w:rFonts w:ascii="Times New Roman" w:hAnsi="Times New Roman"/>
          <w:b/>
          <w:color w:val="000000"/>
          <w:sz w:val="20"/>
        </w:rPr>
        <w:t>Finance Charge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finance charge income increased $0.1 million or 5.9%, to $1.9 million, from $1.8 million for the three months ended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interest expense was $3.6 million, essentially unchanged from the three months ended June 30, 2025. Average borrowings increased by $4.9 million from $203.5 million for the three months ended June 30, 2025, to $208.4 million for the three months ended June 30, 2026, and were offset by the weighted average interest rate decline from 7.0% for the three months ended June 30, 2025, to 6.6% for the three months ended June 30, 2026. To hedge against rising interest rates, the Company utilizes interest rate swaps. At June 30, 2026, approximately 41% of borrowings under Star's variable-rate long term debt were not subject to interest rate changes as a result of interest rate swaps.</w:t>
      </w:r>
    </w:p>
    <w:p>
      <w:pPr>
        <w:pStyle w:val="TextBody"/>
        <w:bidi w:val="0"/>
        <w:spacing w:before="360" w:after="283"/>
        <w:jc w:val="left"/>
        <w:rPr>
          <w:rFonts w:ascii="Times New Roman" w:hAnsi="Times New Roman"/>
          <w:sz w:val="20"/>
        </w:rPr>
      </w:pPr>
      <w:r>
        <w:rPr>
          <w:rFonts w:ascii="Times New Roman" w:hAnsi="Times New Roman"/>
          <w:b/>
          <w:color w:val="000000"/>
          <w:sz w:val="20"/>
        </w:rPr>
        <w:t>Amortization of Debt Issuance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amortization of debt issuance cost was $0.3 million, essentially unchanged from the three months ended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the Company’s income tax benefit increased by $3.4 million to $9.9 million, from $6.5 million for the three months ended June 30, 2025. The increase in the income tax benefit was driven by a $14.8 million increase in the loss before income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Net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Star’s net loss increased $11.4 million, to $28.0 million, compared to the three months ended June 30, 2025, primarily due to an unfavorable change in the fair value of derivative instruments of $8.6 million and a $7.1 million increase in the Adjusted EBITDA loss that was partially offset by a $3.4 million increase in income tax benefit and a $0.9 million decrease in depreciation and amortization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Adjusted EBITDA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Adjusted EBITDA loss increased $7.1 million, to $17.7 million, compared to the three months ended June 30, 2025, as higher home heating oil and propane per gallon margins, an improvement in service and installation profitability and the additional gross profit from other petroleum products was more than offset by higher operating expenses and lower home heating oil and propane volume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should not be considered as an alternative to net income, as an indicator of operating performance, or as an alternative to cash flow, as a measure of liquidity or ability to service debt obligations, but provides additional information for evaluating the Company’s ability to make the minimum quarterly distribution. EBITDA and Adjusted EBITDA are calculated as follows:</w:t>
      </w:r>
    </w:p>
    <w:p>
      <w:pPr>
        <w:pStyle w:val="TextBody"/>
        <w:bidi w:val="0"/>
        <w:jc w:val="left"/>
        <w:rPr/>
      </w:pPr>
      <w:r>
        <w:rPr/>
        <w:t> </w:t>
      </w:r>
    </w:p>
    <w:tbl>
      <w:tblPr>
        <w:tblW w:w="7799" w:type="dxa"/>
        <w:jc w:val="left"/>
        <w:tblInd w:w="0" w:type="dxa"/>
        <w:tblLayout w:type="fixed"/>
        <w:tblCellMar>
          <w:top w:w="28" w:type="dxa"/>
          <w:left w:w="28" w:type="dxa"/>
          <w:bottom w:w="28" w:type="dxa"/>
          <w:right w:w="28" w:type="dxa"/>
        </w:tblCellMar>
      </w:tblPr>
      <w:tblGrid>
        <w:gridCol w:w="5131"/>
        <w:gridCol w:w="146"/>
        <w:gridCol w:w="211"/>
        <w:gridCol w:w="841"/>
        <w:gridCol w:w="166"/>
        <w:gridCol w:w="146"/>
        <w:gridCol w:w="211"/>
        <w:gridCol w:w="736"/>
        <w:gridCol w:w="21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 decrease in the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Add / (subtract)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losses on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accounts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customer credit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other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our financial statements, such as investors, commercial banks and research analysts, to assess: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compliance with certain financial covenants included in our debt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financial performance without regard to financing methods, capital structure, income taxes or historical cost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operating performance and return on invested capital compared to those of other companies in the retail distribution of refined petroleum products, without regard to financing methods and capital structure;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ability to generate cash sufficient to pay interest on our indebtedness and to make distributions to our partners;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viability of acquisitions and capital expenditure projects and the overall rates of return of alternative investment opportunities.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method of calculating Adjusted EBITDA may not be consistent with that of other companies, and EBITDA and Adjusted EBITDA both have limitations as analytical tools and so should not be viewed in isolation but in conjunction with measurements that are computed in accordance with GAAP. Some of the limitations of EBITDA and Adjusted EBITDA 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EBITDA and Adjusted EBITDA do not reflect our cash used for capital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Although depreciation and amortization are non-cash charges, the assets being depreciated or amortized often will have to be replaced and EBITDA and Adjusted EBITDA do not reflect the cash requirements for such replacements;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EBITDA and Adjusted EBITDA do not reflect changes in, or cash requirements for, our working capital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EBITDA and Adjusted EBITDA do not reflect the cash necessary to make payments of interest or principal on our indebtedness; and EBITDA and Adjusted EBITDA do not reflect the cash required to pay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Nine Months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Compared to the Nine Months Ended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Volume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nine months ended June 30, 2026, retail volume of home heating oil and propane sold increased by 8.6 million gallons, or 3.3%, to 271.2 million gallons, compared to 262.6 million gallons for the nine months ended June 30, 2025. For those locations where we had existing operations during both periods, which we sometimes refer to as our “base business” (i.e., excluding acquisitions), temperatures (measured on a heating degree day basis) for the nine months ended June 30, 2026, were 11.5% colder than the nine months ended June 30, 2025, and 2.9% colder than normal, as reported by NOAA. For the twelve months ended June 30, 2026, net customer attrition for the base business was 4.2%. The impact of fuel conservation, along with any period-to-period differences in delivery scheduling, the timing of accounts added or lost during the fiscal years, equipment efficiency, and other volume variances not otherwise described, are included in the chart below under the heading “Other.” An analysis of the change in the retail volume of home heating oil and propane, which is based on management’s estimates, sampling, and other mathematical calculations and certain assumptions, is found below: </w:t>
      </w:r>
    </w:p>
    <w:p>
      <w:pPr>
        <w:pStyle w:val="TextBody"/>
        <w:bidi w:val="0"/>
        <w:jc w:val="left"/>
        <w:rPr/>
      </w:pPr>
      <w:r>
        <w:rPr/>
        <w:t> </w:t>
      </w:r>
    </w:p>
    <w:tbl>
      <w:tblPr>
        <w:tblW w:w="6663" w:type="dxa"/>
        <w:jc w:val="left"/>
        <w:tblInd w:w="0" w:type="dxa"/>
        <w:tblLayout w:type="fixed"/>
        <w:tblCellMar>
          <w:top w:w="28" w:type="dxa"/>
          <w:left w:w="28" w:type="dxa"/>
          <w:bottom w:w="28" w:type="dxa"/>
          <w:right w:w="28" w:type="dxa"/>
        </w:tblCellMar>
      </w:tblPr>
      <w:tblGrid>
        <w:gridCol w:w="3691"/>
        <w:gridCol w:w="146"/>
        <w:gridCol w:w="489"/>
        <w:gridCol w:w="1926"/>
        <w:gridCol w:w="4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millions of gallons)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Heating Oil and Propane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 - Nine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colder temperatures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customer attrition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Lower margin COD and commercial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 - Nine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percentage by volume of total home heating oil and propane sold to residential variable-price customers, residential price-protected customers and commercial/industrial/other customers for the nine months ended June 30, 2026, compared to the nine months ended June 30, 2025: </w:t>
      </w:r>
    </w:p>
    <w:p>
      <w:pPr>
        <w:pStyle w:val="TextBody"/>
        <w:bidi w:val="0"/>
        <w:jc w:val="left"/>
        <w:rPr/>
      </w:pPr>
      <w:r>
        <w:rPr/>
        <w:t> </w:t>
      </w:r>
    </w:p>
    <w:tbl>
      <w:tblPr>
        <w:tblW w:w="6930" w:type="dxa"/>
        <w:jc w:val="left"/>
        <w:tblInd w:w="0" w:type="dxa"/>
        <w:tblLayout w:type="fixed"/>
        <w:tblCellMar>
          <w:top w:w="28" w:type="dxa"/>
          <w:left w:w="28" w:type="dxa"/>
          <w:bottom w:w="28" w:type="dxa"/>
          <w:right w:w="28" w:type="dxa"/>
        </w:tblCellMar>
      </w:tblPr>
      <w:tblGrid>
        <w:gridCol w:w="4411"/>
        <w:gridCol w:w="146"/>
        <w:gridCol w:w="146"/>
        <w:gridCol w:w="574"/>
        <w:gridCol w:w="271"/>
        <w:gridCol w:w="146"/>
        <w:gridCol w:w="146"/>
        <w:gridCol w:w="574"/>
        <w:gridCol w:w="51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Home heating oil and propane volume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 Variable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 Price-Protected (Ceiling and Fixed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Commercial/Industrial/Other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Volume of motor fuel and other petroleum products sold decreased by 5.9 million gallons, or 6.4%, to 85.7 million gallons for the nine months ended June 30, 2026, compared to 91.6 million gallons for the nine months ended June 30,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2026, product sales increased by $124.1 million, or 9.7%, to $1,404.8 million, compared to $1,280.7 million for the nine months ended June 30, 2025, due to an increase in average selling prices and an increase in total volume sold of 0.8%.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Installations and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2026, installation and service revenue increased by $3.3 million, or 1.3%, to $259.3 million, compared to $256.0 million for the nine months ended June 30, 2025, driven by a concerted effort to expand these offerings to our customers as well as price increases and $1.0 million of sales generated from recent acquisitions.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2026, cost of product increased $76.0 million, or 9.5%, to $876.2 million, compared to $800.2 million for the nine months ended June 30, 2025, due to an increase in the combined wholesale product cost of $0.1954 per gallon, or 8.6% calculated on a weighted average and an increase in total volume sold of 0.8%. Product volumes and wholesale product cost include heating oil, propane, motor fuels and other petroleum products.</w:t>
      </w:r>
    </w:p>
    <w:p>
      <w:pPr>
        <w:pStyle w:val="TextBody"/>
        <w:bidi w:val="0"/>
        <w:spacing w:before="360" w:after="283"/>
        <w:jc w:val="left"/>
        <w:rPr>
          <w:rFonts w:ascii="Times New Roman" w:hAnsi="Times New Roman"/>
          <w:sz w:val="20"/>
        </w:rPr>
      </w:pPr>
      <w:r>
        <w:rPr>
          <w:rFonts w:ascii="Times New Roman" w:hAnsi="Times New Roman"/>
          <w:b/>
          <w:color w:val="000000"/>
          <w:sz w:val="20"/>
        </w:rPr>
        <w:t>Gross Profit — Product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calculates our per gallon margins and reconciles product gross profit for home heating oil and propane and motor fuel and other petroleum products. We believe the change in home heating oil and propane margins should be evaluated before the effects of increases or decreases in the fair value of derivative instruments, as we believe that realized per gallon margins should not include the impact of non-cash changes in the market value of hedges before the settlement of the underlying transactions. On that basis, home heating oil and propane margins, for the nine months ended June 30, 2026, increased by $0.1174 per gallon, or 6.9%, to $1.8230 per gallon, from $1.7056 per gallon during the nine months ended June 30, 2025. Going forward, we cannot assume that per gallon margins realized during the nine months ended June 30, 2026, are sustainable especially with the volatility in heating oil and propane costs. Product sales and cost of product include home heating oil, propane, other petroleum products and liquidated damages billings.</w:t>
      </w:r>
    </w:p>
    <w:p>
      <w:pPr>
        <w:pStyle w:val="TextBody"/>
        <w:bidi w:val="0"/>
        <w:jc w:val="left"/>
        <w:rPr/>
      </w:pPr>
      <w:r>
        <w:rPr/>
        <w:t> </w:t>
      </w:r>
    </w:p>
    <w:tbl>
      <w:tblPr>
        <w:tblW w:w="7538" w:type="dxa"/>
        <w:jc w:val="left"/>
        <w:tblInd w:w="0" w:type="dxa"/>
        <w:tblLayout w:type="fixed"/>
        <w:tblCellMar>
          <w:top w:w="28" w:type="dxa"/>
          <w:left w:w="28" w:type="dxa"/>
          <w:bottom w:w="28" w:type="dxa"/>
          <w:right w:w="28" w:type="dxa"/>
        </w:tblCellMar>
      </w:tblPr>
      <w:tblGrid>
        <w:gridCol w:w="2431"/>
        <w:gridCol w:w="146"/>
        <w:gridCol w:w="217"/>
        <w:gridCol w:w="743"/>
        <w:gridCol w:w="146"/>
        <w:gridCol w:w="146"/>
        <w:gridCol w:w="211"/>
        <w:gridCol w:w="676"/>
        <w:gridCol w:w="146"/>
        <w:gridCol w:w="146"/>
        <w:gridCol w:w="217"/>
        <w:gridCol w:w="743"/>
        <w:gridCol w:w="146"/>
        <w:gridCol w:w="146"/>
        <w:gridCol w:w="211"/>
        <w:gridCol w:w="676"/>
        <w:gridCol w:w="3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Home Heating Oil and Propane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33" w:type="dxa"/>
        <w:jc w:val="left"/>
        <w:tblInd w:w="0" w:type="dxa"/>
        <w:tblLayout w:type="fixed"/>
        <w:tblCellMar>
          <w:top w:w="28" w:type="dxa"/>
          <w:left w:w="28" w:type="dxa"/>
          <w:bottom w:w="28" w:type="dxa"/>
          <w:right w:w="28" w:type="dxa"/>
        </w:tblCellMar>
      </w:tblPr>
      <w:tblGrid>
        <w:gridCol w:w="3226"/>
        <w:gridCol w:w="146"/>
        <w:gridCol w:w="259"/>
        <w:gridCol w:w="701"/>
        <w:gridCol w:w="146"/>
        <w:gridCol w:w="146"/>
        <w:gridCol w:w="211"/>
        <w:gridCol w:w="676"/>
        <w:gridCol w:w="146"/>
        <w:gridCol w:w="146"/>
        <w:gridCol w:w="259"/>
        <w:gridCol w:w="701"/>
        <w:gridCol w:w="146"/>
        <w:gridCol w:w="146"/>
        <w:gridCol w:w="211"/>
        <w:gridCol w:w="676"/>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Motor Fuel and Other Petroleum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4599" w:type="dxa"/>
        <w:jc w:val="left"/>
        <w:tblInd w:w="0" w:type="dxa"/>
        <w:tblLayout w:type="fixed"/>
        <w:tblCellMar>
          <w:top w:w="28" w:type="dxa"/>
          <w:left w:w="28" w:type="dxa"/>
          <w:bottom w:w="28" w:type="dxa"/>
          <w:right w:w="28" w:type="dxa"/>
        </w:tblCellMar>
      </w:tblPr>
      <w:tblGrid>
        <w:gridCol w:w="1266"/>
        <w:gridCol w:w="146"/>
        <w:gridCol w:w="217"/>
        <w:gridCol w:w="743"/>
        <w:gridCol w:w="146"/>
        <w:gridCol w:w="146"/>
        <w:gridCol w:w="146"/>
        <w:gridCol w:w="146"/>
        <w:gridCol w:w="217"/>
        <w:gridCol w:w="743"/>
        <w:gridCol w:w="146"/>
        <w:gridCol w:w="146"/>
        <w:gridCol w:w="391"/>
      </w:tblGrid>
      <w:tr>
        <w:trPr/>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2026, total product gross profit was $528.6 million, which was $48.1 million, or 10.0%, higher than the nine months ended June 30, 2025, due to an increase in home heating oil and propane margins ($31.9 million), an increase in home heating oil and propane volume sold ($14.7 million), and an increase in gross profit from other petroleum products ($1.5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Installations and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installation costs, for the nine months ended June 30, 2026, decreased by $1.9 million or 2.3%, to $80.0 million, compared to $81.9 million of installation costs for the nine months ended June 30, 2025. Installation costs as a percentage of installation sales were 79.5% for the nine months ended June 30, 2026, and 81.8% for the nine months ended June 30, 2025. The gross profit from installation increased by $2.5 million, compared to the nine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expense increased by $8.4 million, or 5.5%, to $159.6 million for the nine months ended June 30, 2026, representing 100.6% of service sales, versus $151.2 million, or 97.0% of service sales, for the nine months ended June 30, 2025. The increase in service expense was driven by higher service call volume due to the extreme weather conditions that were 11.5% colder than last year and were approximately 25% colder than expected for a three week period. We experienced a significant increase in the number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snowstorms as well as an increase in snowfall levels across our operating areas with some areas experiencing over 60 inches of snow which negatively impacted our operational efficiency. Propane tank installations were higher as well which led to higher service expenses. A large proportion of our service expenses are incurred under fixed-fee prepaid service contract arrangements, therefore trends in service expenses may not directly correlate to trends in the related revenues. The loss from service increased by $5.7 million compared to the nine months ended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realized a combined gross profit from service and installation of $19.7 million for the nine months ended June 30, 2026 compared to a gross profit of $22.9 million for the nine months ended June 30, 2025, a $3.2 million decrease. While installation gross profit increased by $2.5 million, the service gross profit loss increased by $5.7 million due to higher expenses from increased demand for service and an increase in propane tank installations.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(Increase) Decrease in the Fair Value of Derivative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2026, the change in the fair value of derivative instruments resulted in a $13.4 million credit due to a $12.1 million increase in the market value for unexpired hedges and an $1.3 million credit due to the expiration of certain hedged 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2025, the change in the fair value of derivative instruments resulted in a $12.0 million credit as a $2.3 million charge due to decrease in the market value for unexpired hedges was more than offset by a $14.3 million credit due to the expiration of certain hedged positions.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Delivery and Branch Expenses</w:t>
      </w:r>
    </w:p>
    <w:p>
      <w:pPr>
        <w:pStyle w:val="TextBody"/>
        <w:bidi w:val="0"/>
        <w:jc w:val="left"/>
        <w:rPr>
          <w:rFonts w:ascii="Times New Roman" w:hAnsi="Times New Roman"/>
          <w:color w:val="000000"/>
          <w:sz w:val="20"/>
        </w:rPr>
      </w:pPr>
      <w:r>
        <w:rPr>
          <w:rFonts w:ascii="Times New Roman" w:hAnsi="Times New Roman"/>
          <w:color w:val="000000"/>
          <w:sz w:val="20"/>
        </w:rPr>
        <w:t>For the nine months ended June 30, 2026, delivery and branch expense increased $23.8 million, or 7.5%, to $338.7 million, compared to $314.9 million for the nine months ended June 30, 2025. The increase was driven by an $18.5 million increase in net base business expenses, $3.4 million of expenses from recent acquisitions, and a $1.9 million increase in expenses related to the Company's weather hedge contracts. Temperatures from November 2025 through March 2026 were colder than the weather hedge contract strike prices, and the Company recorded an expense under those contracts of $5.0 million, as compared to $3.1 million for the nine months ended June 30, 2025. The increase in net base business expenses was largely driven by an $11.3 million increase in insurance related expenses due to adverse claims development and, to a lesser extent, higher claims activity associated with the colder temperatures. Temperatures were 11.5% colder than last year and were approximately 25% colder than planned for a three-week period. The Company experienced a significant increase in the number of snowstorms, as well as much higher snowfall levels across its operating areas, with some areas receiving over 60 inches of snow, negatively impacting its business productivity. While home heating oil and propane volume in the base business rose by 1.0%, the extreme weather conditions impacted direct operating costs, which increased $7.7 million, or 3.9%, and were partially offset by $0.5 million of other net expense decreases in the base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Depreciation and Amortization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2026, depreciation and amortization expenses decreased $0.6 million, or 2.5%, to $25.4 million, compared to $26.0 million for the nine months ended June 30, 2025, primarily due to intangible assets that fully amortized in the prior fiscal year.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For the nine months ended June 30, 2026, general and administrative expenses increased by $1.4 million or 6.2%, to $24.3 million, from $22.9 million for the nine months ended June 30, 2025, primarily due to a $1.1 million increase in profit sharing expense and a $0.8 million increase in salaries and benefits expenses, that was partially offset by a $0.5 million decrease in legal, professional and other expenses. The Company accrues approximately 6.0% of Adjusted EBITDA as defined in its profit sharing plan for distribution to its employees. This amount is payable if/when the Company achieves Adjusted EBITDA of at least 70% of the amount budgeted. The dollar amount of the profit sharing pool adjusts accordingly based on Adjusted EBITDA levels achieved.</w:t>
      </w:r>
    </w:p>
    <w:p>
      <w:pPr>
        <w:pStyle w:val="TextBody"/>
        <w:bidi w:val="0"/>
        <w:spacing w:before="360" w:after="283"/>
        <w:jc w:val="left"/>
        <w:rPr>
          <w:rFonts w:ascii="Times New Roman" w:hAnsi="Times New Roman"/>
          <w:sz w:val="20"/>
        </w:rPr>
      </w:pPr>
      <w:r>
        <w:rPr>
          <w:rFonts w:ascii="Times New Roman" w:hAnsi="Times New Roman"/>
          <w:b/>
          <w:color w:val="000000"/>
          <w:sz w:val="20"/>
        </w:rPr>
        <w:t>Finance Charge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2026, finance charge income increased $0.1 million or 4.4%, to $4.0 million, from $3.9 million for the nine months ended June 30, 2025, due to slightly higher late customer payment charges on aged receivables.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nine months ended June 30, 2026, interest expense, net increased by $0.4 million, or 3.9%, to $11.5 million compared to $11.1 million for the nine months ended June 30, 2025. The year-over-year change was attributable to a reduction in interest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$1.2 million due to lower invested cash balances of $78 million. In September 2024, the company increased its term loan and prefunded an acquisition that closed in January 2025 for $66.9 million. This was partially offset by a $0.8 million decrease in gross interest expense as the weighted average interest rate declined from 7.0% for the nine months ended June 30, 2025, to 6.6% for the nine months ended June 30, 2026, and was slightly offset by a $1.4 million increase in average borrowings from $224.8 million for the nine months ended June 30, 2025, to $226.2 million for the nine months ended June 30, 2026. To hedge against rising interest rates, the Company utilizes interest rate swaps. At June 30, 2026, approximately 41% of borrowings under Star's variable-rate long term debt were not subject to interest rate changes as a result of interest rate swaps.</w:t>
      </w:r>
    </w:p>
    <w:p>
      <w:pPr>
        <w:pStyle w:val="TextBody"/>
        <w:bidi w:val="0"/>
        <w:spacing w:before="360" w:after="283"/>
        <w:jc w:val="left"/>
        <w:rPr>
          <w:rFonts w:ascii="Times New Roman" w:hAnsi="Times New Roman"/>
          <w:sz w:val="20"/>
        </w:rPr>
      </w:pPr>
      <w:r>
        <w:rPr>
          <w:rFonts w:ascii="Times New Roman" w:hAnsi="Times New Roman"/>
          <w:b/>
          <w:color w:val="000000"/>
          <w:sz w:val="20"/>
        </w:rPr>
        <w:t>Amortization of Debt Issuance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2026, amortization of debt issuance cost was $0.8 million, essentially unchanged from the nine months ended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2026, the Company’s income tax expense increased by $7.6 million to $48.9 million, from $41.3 million for the nine months ended June 30, 2025. The increase in the income tax expense was driven by a $21.5 million increase in income before income taxes.</w:t>
      </w:r>
    </w:p>
    <w:p>
      <w:pPr>
        <w:pStyle w:val="TextBody"/>
        <w:bidi w:val="0"/>
        <w:spacing w:before="360" w:after="283"/>
        <w:jc w:val="left"/>
        <w:rPr>
          <w:rFonts w:ascii="Times New Roman" w:hAnsi="Times New Roman"/>
          <w:sz w:val="20"/>
        </w:rPr>
      </w:pPr>
      <w:r>
        <w:rPr>
          <w:rFonts w:ascii="Times New Roman" w:hAnsi="Times New Roman"/>
          <w:b/>
          <w:color w:val="000000"/>
          <w:sz w:val="20"/>
        </w:rPr>
        <w:t>Net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2026, Star’s net income increased $13.9 million, to $116.1 million, compared to the nine months ended June 30, 2025, primarily due to a $19.9 million increase in the Adjusted EBITDA, a favorable change in the fair value of derivative instruments of $1.4 million and a $0.6 million decrease in depreciation and amortization expenses that was partially offset by a $7.6 million increase in income tax expense and a $0.4 million increase in net interest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2026, Adjusted EBITDA increased $19.9 million, to $189.3 million, compared to the nine months ended June 30, 2025, primarily due to a $15.0 million increase in Adjusted EBITDA in the base business and a $6.8 million increase in Adjusted EBITDA from recent acquisitions that was partially offset by a $1.9 million increase in expense related to the Company's weather hedge contracts due to the colder temperatures. The increase in Adjusted EBITDA in the base business was driven by higher home heating oil and propane volume sold due to colder weather, an increase in home heating oil and propane per gallon margins, higher installation profitability, partially reduced by an increase in delivery, branch and service related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should not be considered as an alternative to net income, as an indicator of operating performance, or as an alternative to cash flow, as a measure of liquidity or ability to service debt obligations, but provides additional information for evaluating the Company’s ability to make the minimum quarterly distribution. EBITDA and Adjusted EBITDA are calculated as follows:</w:t>
      </w:r>
    </w:p>
    <w:p>
      <w:pPr>
        <w:pStyle w:val="TextBody"/>
        <w:bidi w:val="0"/>
        <w:jc w:val="left"/>
        <w:rPr/>
      </w:pPr>
      <w:r>
        <w:rPr/>
        <w:t> </w:t>
      </w:r>
    </w:p>
    <w:tbl>
      <w:tblPr>
        <w:tblW w:w="7784" w:type="dxa"/>
        <w:jc w:val="left"/>
        <w:tblInd w:w="0" w:type="dxa"/>
        <w:tblLayout w:type="fixed"/>
        <w:tblCellMar>
          <w:top w:w="28" w:type="dxa"/>
          <w:left w:w="28" w:type="dxa"/>
          <w:bottom w:w="28" w:type="dxa"/>
          <w:right w:w="28" w:type="dxa"/>
        </w:tblCellMar>
      </w:tblPr>
      <w:tblGrid>
        <w:gridCol w:w="5131"/>
        <w:gridCol w:w="146"/>
        <w:gridCol w:w="211"/>
        <w:gridCol w:w="781"/>
        <w:gridCol w:w="166"/>
        <w:gridCol w:w="146"/>
        <w:gridCol w:w="211"/>
        <w:gridCol w:w="781"/>
        <w:gridCol w:w="21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 decrease in the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Add / (subtract)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losses on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accounts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customer credit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other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our financial statements, such as investors, commercial banks and research analysts, to assess: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compliance with certain financial covenants included in our debt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financial performance without regard to financing methods, capital structure, income taxes or historical cost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operating performance and return on invested capital compared to those of other companies in the retail distribution of refined petroleum products, without regard to financing methods and capital structure;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ability to generate cash sufficient to pay interest on our indebtedness and to make distributions to our partners;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viability of acquisitions and capital expenditure projects and the overall rates of return of alternative investment opportunities.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method of calculating Adjusted EBITDA may not be consistent with that of other companies, and EBITDA and Adjusted EBITDA both have limitations as analytical tools and so should not be viewed in isolation but in conjunction with measurements that are computed in accordance with GAAP. Some of the limitations of EBITDA and Adjusted EBITDA 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EBITDA and Adjusted EBITDA do not reflect our cash used for capital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Although depreciation and amortization are non-cash charges, the assets being depreciated or amortized often will have to be replaced and EBITDA and Adjusted EBITDA do not reflect the cash requirements for such replacements;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EBITDA and Adjusted EBITDA do not reflect changes in, or cash requirements for, our working capital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EBITDA and Adjusted EBITDA do not reflect the cash necessary to make payments of interest or principal on our indebtedness; and EBITDA and Adjusted EBITDA do not reflect the cash required to pay taxes.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DISCUSSION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the indirect method to prepare our Consolidated Statements of Cash Flows. Under this method, we reconcile net income to cash flows provided by operating activities by adjusting net income for those items that impact net income but do not result in actual cash receipts or payment during the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seasonal nature of our business, cash is generally used in operations during the winter (our first and second fiscal quarters) as we require additional working capital to support the high volume of sales during this period, and cash is generally provided by operating activities during the spring and summer (our third and fourth fiscal quarters) when customer payments exceed the cost of deliveries.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2026, cash provided by operating activities increased $0.7 million, to $57.2 million, compared to $56.5 million during the nine months ended June 30, 2025, primarily due to an $11.3 million increase in cash flows from operations and increases in accruals for insurance, taxes and other working capital changes provided $16.1 million of cash. These increases were partially offset by a $21.7 million increase in accounts receivable due from customers on a comparable basis (including accounts receivable and customer credit balance accounts) of which $15.9 million represents an increase in receivables from customers on budget payment plans due to the increased volume sold and higher selling prices compared to the prior year. In addition, due to an increase in wholesale product costs, we used $5.0 million in cash to finance an increase in inventory, including related collateral.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2026 the Company acquired one heating oil business for approximately $1.0 million in cash. The gross purchase price was allocated $1.2 million to intangible assets, $0.6 million to goodwill, $0.3 million to fixed assets and reduced by $1.1 million of negative working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nine months ended June 30, 2026, our capital expenditures totaled $10.2 million, as we invested in computer hardware and software ($1.9 million), refurbished certain physical plants ($3.4 million), expanded our propane operations ($0.6 million) and made additions to our fleet and other equipment ($4.3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2026, $2.4 million of earnings were reinvested into an irrevocable trust established in connection with our captive insurance company. The cash deposited into the trust is shown on our balance sheet as captive insurance collateral and, correspondingly, reduced cash on our balance sheet. We believe that investments into the irrevocable trust lower our letter of credit fees, increase interest income on invested cash balances, and provide us with certain tax advantages attributable to a captive insurance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2025, the Company acquired one heating oil and three propane businesses for approximately $80.5 million in cash. The gross purchase price was allocated $38.7 million to intangible assets, $17.7 million to goodwill, $25.2 million to fixed assets and reduced by $1.1 million of negative working capital. The Company also acquired certain intangible and fixed assets for $7.7 million and sold certain assets for cash proceeds of $0.3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capital expenditures for the nine months ended June 30, 2025 totaled $10.4 million, as we invested in computer hardware and software ($1.3 million), refurbished certain physical plants ($1.2 million), expanded our propane operations ($1.0 million) and made additions to our fleet and other equipment ($6.9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June 30, 2025, $1.8 million of earnings were reinvested into the irrevocable trust.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June 30, 2026, we repaid $15.8 million of our term loan, borrowed $93.6 million under our revolving credit facility and subsequently repaid $93.6 million, repurchased 0.5 million Common Units, at an average price paid of $11.95 per unit, for $5.5 million, in connection with our unit repurchase plan, and paid distributions of $18.6 million to our Common Unit holders and $1.3 million to our General Partner unit holders (including $1.2 million of incentive distributions as provided in our Partnership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2025, we repaid $15.8 million of our term loan, borrowed $75.4 million under our revolving credit facility and subsequently repaid $75.4 million, repurchased 0.8 million Common Units, at an average price paid of $11.99 per unit, for $10.0 million, in connection with our unit repurchase plan, and paid distributions of $18.3 million to our Common Unit holders and $1.2 million to our General Partner unit holders (including $1.1 million of incentive distributions as provided in our Partnership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FINANCING AND SOURCES OF LIQUIDITY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 Comparatives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liquidity are to provide funds for our working capital, capital expenditures, distributions on our units, acquisitions and unit repurchases. Our ability to provide funds for such uses depends on our future performance, which will be subject to prevailing economic, financial, geopolitical and business conditions, tariff regimes, weather, the ability to collect current and future accounts receivable, the ability to pass on the full impact of high product costs to customers, the effects of high net customer attrition, conservation, inflation and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requirements, at least in the near term, are expected to be provided by cash flows from operating activities, cash on hand as of June 30, 2026, of $27.0 million, or a combination thereof. We believe that these cash sources will also be sufficient to satisfy our capital requirements in the longer-term. However, if they are not sufficient, we anticipate that working capital will be financed by our revolving credit facility, as discussed below, and from subsequent seasonal reductions in inventory and receivables. Also, as of June 30, 2026, we had accounts receivable of $160.1 million of which $113.4 million is due from residential customers (reflecting a $20.2 million increase in amounts due from customers on budget payment plans compared to June 30, 2025 due to increased volumes sold resulting from the colder than expected weather) and $46.7 million is due from commercial customers. Our ability to borrow from our bank group is based in part on the aging of these accounts receivables. If these balances do not meet the eligibility tests as defined in our credit agreement, our ability to borrow will be reduced and our anticipated cash flow from operating activities will also be reduced. As of June 30, 2026, we had no borrowings under the revolving credit facility, $173.3 million outstanding under our term loan, $3.0 million in letters of credit outstanding and no hedge positions were secured under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credit agreement, if Availability (as defined in the credit agreement) is less than the greater of (a) 12.5% of the Line Cap (lesser of the aggregate revolving commitment and the borrowing base) which was $29.1 million as of June 30, 2026 and (b) $35.0 million, we must maintain a fixed charge coverage ratio of 1.10. We are also required to maintain a senior secured leverage ratio that cannot be more than 3.0 as of June 30th or September 30th, and no more than 5.5 as of December 31st or March 31st. As of June 30, 2026, Availability, as defined in the credit agreement, as amended, was $229.9 million and we were in compliance with the financial covenants.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capital expenditures for the remainder of fiscal 2026 are estimated to be approximately $5.5 million to $6.5 million, excluding the capital requirements for leased fleet. In addition, we plan to invest $0.1 million to $0.2 million in our propane operations. If, and only to the extent that, cash distributions to our unitholders remain at the current quarterly level of $0.1975 per unit for the balance of fiscal 2026, the Company would make aggregate payments of approximately $6.5 million to Common Unit holders, $0.5 million to our General Partner (including $0.4 million of incentive distribution as provided for in our Partnership Agreement) and $0.4 million to management pursuant to the management incentive compensation plan which provides for certain members of management to receive incentive distributions that would otherwise be payable to the General Partner. The amount of cash distributions payable to our unitholders, if any, depends on the amount of cash flow generated by the Company and our compliance with certain financial covenants under our credit agreement. Under the terms of our credit agreement, our term loan is repayable in quarterly payments of $5.3 million and we expect to pay $5.3 million for the remainder of fiscal 2026. Further, subject to any additional liquidity issues or concerns resulting from wholesale price volatility, we intend to continue to repurchase Common Units pursuant to our unit repurchase plan, as amended from time to time, and seek attractive acquisition opportunities within the Availability constraints of our revolving credit facility and funding resources.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material change to Contractual Obligations and Off-Balance Sheet Arrangements since our September 30, 2025, Form 10-K disclosure and therefore, the table has not been included in this Form 10-Q. </w:t>
      </w:r>
    </w:p>
    <w:p>
      <w:pPr>
        <w:pStyle w:val="TextBody"/>
        <w:bidi w:val="0"/>
        <w:spacing w:before="360" w:after="283"/>
        <w:jc w:val="left"/>
        <w:rPr>
          <w:rFonts w:ascii="Times New Roman" w:hAnsi="Times New Roman"/>
          <w:sz w:val="20"/>
        </w:rPr>
      </w:pPr>
      <w:bookmarkStart w:id="13" w:name="recent_accounting_pronouncements"/>
      <w:bookmarkEnd w:id="13"/>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 Summary of Significant Accounting Policies for discussion regarding the impact of accounting standards that were recently adopted and issued but not yet effective, on our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Policy and 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there have been no significant changes to our critical accounting policy and critical accounting estimates during the nine months ended June 30, 2026, as compared to those we disclosed in Management’s Discussion and Analysis of Financial Condition and Results of Operations included in our annual report on Form 10-K for the fiscal year ended September 30, 2025. While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and estimates have not changed in any significant way during the nine months ended June 30, 2026, the following provides disclosures about our critical accounting policy and critical accounting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Values of Derivatives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FASB ASC 815-10-05, Derivatives and Hedging, requires that derivative instruments be recorded at fair value and included in the consolidated balance sheet as assets or liabilities. The Company has elected not to designate its commodity derivative instruments as hedging instruments under this guidance, and therefore the change in fair value of those derivative instruments are recognized in our statement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the fair value of our derivative instruments using estimates determined by our counterparties and subsequently evaluated them internally using established index prices and other sources. These values are based upon, among other things, futures prices, volatility, time-to-maturity value and credit risk. The estimate of fair value we report in our financial statements changes as these estimates are revised to reflect actual results, changes in market conditions, or other factors, many of which are beyond our control.</w:t>
      </w:r>
    </w:p>
    <w:p>
      <w:pPr>
        <w:pStyle w:val="TextBody"/>
        <w:bidi w:val="0"/>
        <w:spacing w:before="360" w:after="283"/>
        <w:jc w:val="left"/>
        <w:rPr>
          <w:rFonts w:ascii="Times New Roman" w:hAnsi="Times New Roman"/>
          <w:b/>
          <w:color w:val="000000"/>
          <w:sz w:val="20"/>
        </w:rPr>
      </w:pPr>
      <w:bookmarkStart w:id="14" w:name="critical_accounting_estimates"/>
      <w:bookmarkEnd w:id="14"/>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Self-Insurance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self-insure a portion of workers’ compensation, auto, general liability and medical claims. We establish and periodically evaluate self-insurance liabilities based upon expectations as to what our ultimate liability may be for outstanding claims using developmental factors based upon historical claim experience, including frequency, severity, demographic factors and other actuarial assumptions, supplemented with the support of a qualified third-party actuary. As of September 30, 2025, we had approximately $78.8 million of self-insurance liabilities. The ultimate resolution of these claims could differ materially from the assumptions used to calculate the self-insurance liabilities, which could have a material adverse effect on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quantitative_and_qualitative_disclosures"/>
      <w:bookmarkEnd w:id="15"/>
      <w:r>
        <w:rPr>
          <w:rFonts w:ascii="Times New Roman" w:hAnsi="Times New Roman"/>
          <w:b/>
          <w:color w:val="000000"/>
          <w:sz w:val="20"/>
        </w:rPr>
        <w:t>Item 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interest rate risk primarily through our bank credit facilities. We utilize these borrowings to meet our working capital needs.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we had outstanding borrowings totaling $173.3 million that are subject to variable interest rates under our credit agreement, and $71.9 million of interest rate swaps to mitigate exposure to interest rate risk associated with variable interest rates. In the event that interest rates associated with this facility were to increase 100 basis points, the after tax impact on annual future cash flows would be a decrease of $0.7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Commodity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use derivative financial instruments to manage our exposure to commodity price risk related to changes in the current and future market price of home heating oil and vehicle fuels. The value of market sensitive derivative instruments is subject to change as a result of movements in market prices. Sensitivity analysis is a technique used to evaluate the impact of hypothetical market value changes. Based on a hypothetical ten percent increase in the cost of product at June 30, 2026, the potential impact on our hedging activity would be to increase the fair market value of these outstanding derivatives by $7.5 million from $11.0 million to a fair market value of $18.5 million; and conversely a hypothetical ten percent decrease in the cost of product would decrease the fair market value of these outstanding derivatives by $6.5 million to a fair market value of $4.5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broader discussion of risks, including those related to market conditions, please refer to Part I Item 1A "Risk Factors in our Fiscal 2025 Form 10-K.</w:t>
      </w:r>
    </w:p>
    <w:p>
      <w:pPr>
        <w:pStyle w:val="TextBody"/>
        <w:bidi w:val="0"/>
        <w:spacing w:before="360" w:after="283"/>
        <w:jc w:val="center"/>
        <w:rPr>
          <w:rFonts w:ascii="Times New Roman" w:hAnsi="Times New Roman"/>
          <w:sz w:val="20"/>
        </w:rPr>
      </w:pPr>
      <w:r>
        <w:rPr>
          <w:rFonts w:ascii="Times New Roman" w:hAnsi="Times New Roman"/>
          <w:b/>
          <w:color w:val="000000"/>
          <w:sz w:val="20"/>
        </w:rPr>
        <w:t>Item 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16" w:name="controls_procedures"/>
      <w:bookmarkEnd w:id="16"/>
      <w:r>
        <w:rPr>
          <w:rFonts w:ascii="Times New Roman" w:hAnsi="Times New Roman"/>
          <w:b/>
          <w:color w:val="000000"/>
          <w:sz w:val="20"/>
        </w:rPr>
        <w:t>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a)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General Partner’s chief executive officer and chief financial officer evaluated the effectiveness of the Company’s disclosure controls and procedures (as that term is defined in Rule 13a-15(e) of the Securities Exchange Act of 1934, as amended) as of June 30, 2026. Based on that evaluation, such chief executive officer and chief financial officer concluded that the Company’s disclosure controls and procedures were effective as of June 30, 2026, at the reasonable level of assurance. For purposes of Rule 13a-15(e), the term disclosure controls and procedures means the controls and other procedures of an issuer that are designed to ensure that information required to be disclosed by the issuer in the reports that it files or submits under the Securities Exchange Act of 1934, as amended (the “Act”) (15 U.S.C. 78a et seq.)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chief executive officer and chief financial officer, or persons performing similar functions, as appropriate to allow timely decisions regarding required disclosure. </w:t>
      </w:r>
    </w:p>
    <w:p>
      <w:pPr>
        <w:pStyle w:val="TextBody"/>
        <w:bidi w:val="0"/>
        <w:spacing w:before="360" w:after="283"/>
        <w:jc w:val="left"/>
        <w:rPr>
          <w:rFonts w:ascii="Times New Roman" w:hAnsi="Times New Roman"/>
          <w:sz w:val="20"/>
        </w:rPr>
      </w:pPr>
      <w:r>
        <w:rPr>
          <w:rFonts w:ascii="Times New Roman" w:hAnsi="Times New Roman"/>
          <w:b/>
          <w:color w:val="000000"/>
          <w:sz w:val="20"/>
        </w:rPr>
        <w:t>b) Change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changes in the Company’s internal control over financial reporting occurred during the Company’s most recent fiscal quarter that has materially affected or is reasonably likely to materially affect the Company’s internal control over financial reporting. </w:t>
      </w:r>
    </w:p>
    <w:p>
      <w:pPr>
        <w:pStyle w:val="TextBody"/>
        <w:bidi w:val="0"/>
        <w:spacing w:before="360" w:after="283"/>
        <w:jc w:val="left"/>
        <w:rPr>
          <w:rFonts w:ascii="Times New Roman" w:hAnsi="Times New Roman"/>
          <w:sz w:val="20"/>
        </w:rPr>
      </w:pPr>
      <w:r>
        <w:rPr>
          <w:rFonts w:ascii="Times New Roman" w:hAnsi="Times New Roman"/>
          <w:b/>
          <w:color w:val="000000"/>
          <w:sz w:val="20"/>
        </w:rPr>
        <w:t>c) Other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bookmarkStart w:id="17" w:name="controls_procedures_end"/>
      <w:bookmarkEnd w:id="17"/>
      <w:r>
        <w:rPr>
          <w:rFonts w:ascii="Times New Roman" w:hAnsi="Times New Roman"/>
          <w:color w:val="000000"/>
          <w:sz w:val="20"/>
        </w:rPr>
        <w:t xml:space="preserve">The General Partner and the Company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Therefore, a control system, no matter how well conceived and operated, can provide only reasonable, not absolute, assurance that the objectives of the control system are met. Our disclosure controls and procedures are designed to provide such reasonable assurances of achieving our desired control objectives, and the chief executive officer and chief financial officer of the General Partner have concluded, as of June 30, 2026, that our disclosure controls and procedures were effective in achieving that level of reasonable assurance.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part_ii_or_information"/>
      <w:bookmarkEnd w:id="18"/>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19" w:name="item_1"/>
      <w:bookmarkEnd w:id="19"/>
      <w:r>
        <w:rPr>
          <w:rFonts w:ascii="Times New Roman" w:hAnsi="Times New Roman"/>
          <w:b/>
          <w:color w:val="000000"/>
          <w:sz w:val="20"/>
        </w:rPr>
        <w:t>Item 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0" w:name="legal_proceedings"/>
      <w:bookmarkEnd w:id="20"/>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we are not a party to any litigation, which individually or in the aggregate could reasonably be expected to have a material adverse effect on our results of operations, financial position or liquidity.</w:t>
      </w:r>
    </w:p>
    <w:p>
      <w:pPr>
        <w:pStyle w:val="TextBody"/>
        <w:bidi w:val="0"/>
        <w:spacing w:before="360" w:after="283"/>
        <w:jc w:val="center"/>
        <w:rPr>
          <w:rFonts w:ascii="Times New Roman" w:hAnsi="Times New Roman"/>
          <w:sz w:val="20"/>
        </w:rPr>
      </w:pPr>
      <w:bookmarkStart w:id="21" w:name="item_1a"/>
      <w:bookmarkEnd w:id="21"/>
      <w:r>
        <w:rPr>
          <w:rFonts w:ascii="Times New Roman" w:hAnsi="Times New Roman"/>
          <w:b/>
          <w:color w:val="000000"/>
          <w:sz w:val="20"/>
        </w:rPr>
        <w:t>Item 1A.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2" w:name="risk_factors"/>
      <w:bookmarkEnd w:id="22"/>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other information set forth in this Report, investors should carefully review and consider the information regarding certain factors, which could materially affect our business, results of operations, financial condition and cash flows set forth in Part I Item 1A. “Risk Factors” in our Fiscal 2025 Form 10-K report. We may disclose changes to such risk factors or disclose additional risk factors from time to time in our future filings with the SEC. </w:t>
      </w:r>
    </w:p>
    <w:p>
      <w:pPr>
        <w:pStyle w:val="TextBody"/>
        <w:bidi w:val="0"/>
        <w:spacing w:before="360" w:after="283"/>
        <w:jc w:val="center"/>
        <w:rPr>
          <w:rFonts w:ascii="Times New Roman" w:hAnsi="Times New Roman"/>
          <w:sz w:val="20"/>
        </w:rPr>
      </w:pPr>
      <w:bookmarkStart w:id="23" w:name="item_2_a"/>
      <w:bookmarkEnd w:id="23"/>
      <w:r>
        <w:rPr>
          <w:rFonts w:ascii="Times New Roman" w:hAnsi="Times New Roman"/>
          <w:b/>
          <w:color w:val="000000"/>
          <w:sz w:val="20"/>
        </w:rPr>
        <w:t>Item 2.</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24" w:name="unregistered_sales_equity_securities_use"/>
      <w:bookmarkEnd w:id="24"/>
      <w:r>
        <w:rPr>
          <w:rFonts w:ascii="Times New Roman" w:hAnsi="Times New Roman"/>
          <w:b/>
          <w:color w:val="000000"/>
          <w:sz w:val="20"/>
        </w:rPr>
        <w:t>Unregistered Sale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 of equity securities by the issuer. Note 4 to the Condensed Consolidated Financial Statements concerning the Company’s repurchase of Common Units during the nine months ended June 30, 2026 is incorporated into this Item 2 by reference.</w:t>
      </w:r>
    </w:p>
    <w:p>
      <w:pPr>
        <w:pStyle w:val="TextBody"/>
        <w:bidi w:val="0"/>
        <w:spacing w:before="360" w:after="283"/>
        <w:jc w:val="center"/>
        <w:rPr>
          <w:rFonts w:ascii="Times New Roman" w:hAnsi="Times New Roman"/>
          <w:sz w:val="20"/>
        </w:rPr>
      </w:pPr>
      <w:bookmarkStart w:id="25" w:name="item_3"/>
      <w:bookmarkEnd w:id="25"/>
      <w:r>
        <w:rPr>
          <w:rFonts w:ascii="Times New Roman" w:hAnsi="Times New Roman"/>
          <w:b/>
          <w:color w:val="000000"/>
          <w:sz w:val="20"/>
        </w:rPr>
        <w:t>Item 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center"/>
        <w:rPr>
          <w:rFonts w:ascii="Times New Roman" w:hAnsi="Times New Roman"/>
          <w:sz w:val="20"/>
        </w:rPr>
      </w:pPr>
      <w:bookmarkStart w:id="26" w:name="item_4"/>
      <w:bookmarkEnd w:id="26"/>
      <w:r>
        <w:rPr>
          <w:rFonts w:ascii="Times New Roman" w:hAnsi="Times New Roman"/>
          <w:b/>
          <w:color w:val="000000"/>
          <w:sz w:val="20"/>
        </w:rPr>
        <w:t>Item 4.</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w:t>
      </w:r>
    </w:p>
    <w:p>
      <w:pPr>
        <w:pStyle w:val="TextBody"/>
        <w:bidi w:val="0"/>
        <w:spacing w:before="360" w:after="283"/>
        <w:jc w:val="center"/>
        <w:rPr>
          <w:rFonts w:ascii="Times New Roman" w:hAnsi="Times New Roman"/>
          <w:sz w:val="20"/>
        </w:rPr>
      </w:pPr>
      <w:r>
        <w:rPr>
          <w:rFonts w:ascii="Times New Roman" w:hAnsi="Times New Roman"/>
          <w:b/>
          <w:color w:val="000000"/>
          <w:sz w:val="20"/>
        </w:rPr>
        <w:t>Item 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7" w:name="item_5"/>
      <w:bookmarkEnd w:id="27"/>
      <w:r>
        <w:rPr>
          <w:rFonts w:ascii="Times New Roman" w:hAnsi="Times New Roman"/>
          <w:b/>
          <w:color w:val="000000"/>
          <w:sz w:val="20"/>
        </w:rPr>
        <w:t>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Trading Plans. During the quarter ended June 30, 2026, no director or Section 16 officer adopted or terminated any Rule 10b5-1 trading plans and arrangements or non-Rule 10b5-1 trading plans and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item_6"/>
      <w:bookmarkEnd w:id="28"/>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9" w:name="exhibits"/>
      <w:bookmarkEnd w:id="29"/>
      <w:r>
        <w:rPr>
          <w:rFonts w:ascii="Times New Roman" w:hAnsi="Times New Roman"/>
          <w:b/>
          <w:color w:val="000000"/>
          <w:sz w:val="20"/>
        </w:rPr>
        <w:t>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Exhibits Included Within:</w:t>
      </w:r>
    </w:p>
    <w:tbl>
      <w:tblPr>
        <w:tblW w:w="10205" w:type="dxa"/>
        <w:jc w:val="left"/>
        <w:tblInd w:w="0" w:type="dxa"/>
        <w:tblLayout w:type="fixed"/>
        <w:tblCellMar>
          <w:top w:w="28" w:type="dxa"/>
          <w:left w:w="28" w:type="dxa"/>
          <w:bottom w:w="28" w:type="dxa"/>
          <w:right w:w="28" w:type="dxa"/>
        </w:tblCellMar>
      </w:tblPr>
      <w:tblGrid>
        <w:gridCol w:w="699"/>
        <w:gridCol w:w="9506"/>
      </w:tblGrid>
      <w:tr>
        <w:trPr/>
        <w:tc>
          <w:tcPr>
            <w:tcW w:w="699" w:type="dxa"/>
            <w:tcBorders/>
            <w:vAlign w:val="center"/>
          </w:tcPr>
          <w:p>
            <w:pPr>
              <w:pStyle w:val="TableContents"/>
              <w:bidi w:val="0"/>
              <w:spacing w:before="0" w:after="283"/>
              <w:jc w:val="left"/>
              <w:rPr>
                <w:sz w:val="4"/>
                <w:szCs w:val="4"/>
              </w:rPr>
            </w:pPr>
            <w:r>
              <w:rPr>
                <w:sz w:val="4"/>
                <w:szCs w:val="4"/>
              </w:rPr>
            </w:r>
          </w:p>
        </w:tc>
        <w:tc>
          <w:tcPr>
            <w:tcW w:w="9506" w:type="dxa"/>
            <w:tcBorders/>
            <w:vAlign w:val="center"/>
          </w:tcPr>
          <w:p>
            <w:pPr>
              <w:pStyle w:val="TableContents"/>
              <w:bidi w:val="0"/>
              <w:spacing w:before="0" w:after="283"/>
              <w:jc w:val="left"/>
              <w:rPr>
                <w:sz w:val="4"/>
                <w:szCs w:val="4"/>
              </w:rPr>
            </w:pPr>
            <w:r>
              <w:rPr>
                <w:sz w:val="4"/>
                <w:szCs w:val="4"/>
              </w:rPr>
            </w:r>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Limited Partnership (Incorporated by reference to an exhibit to the Registrant’s Quarterly Report on Form 10-Q filed with the Commission on May 9, 2006.)</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Amended and Restated Certificate of Limited Partnership (Incorporated by reference to an exhibit to the Registrant’s Current Report on Form 8-K with the Commission on October 27, 2017.)</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Third Amended and Restated Agreement of Limited Partnership (Incorporated by reference to an exhibit to the Registrant’s Current Report on Form 8-K with the Commission on November 6, 2017.)</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No. 1 to Third Amended and Restated Agreement of Limited Partnership of Star Group, L.P. (Incorporated by reference to an exhibit to the Registrant’s Current Report on Form 8-K filed with the Commission on March 24, 2023.)</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Unit Purchase Rights Agreement dated as of March 24, 2023 by and between the Registrant and Computershare Trust Company, N.A., as rights agent (which includes the form of Rights Certificate as Exhibit A thereto) (Incorporated by reference as an exhibit to the Registrant's Form 8-A filed with the Commission on March 24, 2023.)</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w:anchor="sgu-ex31_1.htm">
              <w:r>
                <w:rPr>
                  <w:rStyle w:val="InternetLink"/>
                  <w:rFonts w:ascii="Times New Roman" w:hAnsi="Times New Roman"/>
                  <w:color w:val="0000FF"/>
                  <w:sz w:val="20"/>
                  <w:u w:val="single"/>
                </w:rPr>
                <w:t>Certification of Chief Executive Officer, Star Group, L.P., pursuant to Rule 13a-14(a)/15d-14(a).</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w:anchor="sgu-ex31_2.htm">
              <w:r>
                <w:rPr>
                  <w:rStyle w:val="InternetLink"/>
                  <w:rFonts w:ascii="Times New Roman" w:hAnsi="Times New Roman"/>
                  <w:color w:val="0000FF"/>
                  <w:sz w:val="20"/>
                  <w:u w:val="single"/>
                </w:rPr>
                <w:t>Certification of Chief Financial Officer, Star Group, L.P., pursuant to Rule 13a-14(a)/15d-14(a).</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w:anchor="sgu-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w:anchor="sgu-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the Star Group, L.P. Quarterly Report on Form 10-Q for the quarter ended June 30, 2026, formatted in Inline Extensible Business Reporting Language (iXBRL): (i) the Condensed Consolidated Balance Sheets, (ii) the Condensed Consolidated Statements of Operations, (iii) the Condensed Consolidated Statements of Comprehensive Income, (iv) the Condensed Consolidated Statements of Partners’ Capital, (v) the Condensed Consolidated Statements of Cash Flows and (vi) related notes.</w:t>
            </w:r>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101.SCH</w:t>
            </w:r>
          </w:p>
        </w:tc>
        <w:tc>
          <w:tcPr>
            <w:tcW w:w="9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9"/>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0" w:name="signatures"/>
      <w:bookmarkEnd w:id="3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of the undersigned thereunto duly authorized: </w:t>
      </w:r>
    </w:p>
    <w:p>
      <w:pPr>
        <w:pStyle w:val="TextBody"/>
        <w:bidi w:val="0"/>
        <w:jc w:val="left"/>
        <w:rPr/>
      </w:pPr>
      <w:r>
        <w:rPr/>
        <w:t> </w:t>
      </w:r>
    </w:p>
    <w:tbl>
      <w:tblPr>
        <w:tblW w:w="4561" w:type="dxa"/>
        <w:jc w:val="left"/>
        <w:tblInd w:w="0" w:type="dxa"/>
        <w:tblLayout w:type="fixed"/>
        <w:tblCellMar>
          <w:top w:w="28" w:type="dxa"/>
          <w:left w:w="28" w:type="dxa"/>
          <w:bottom w:w="28" w:type="dxa"/>
          <w:right w:w="28" w:type="dxa"/>
        </w:tblCellMar>
      </w:tblPr>
      <w:tblGrid>
        <w:gridCol w:w="841"/>
        <w:gridCol w:w="1348"/>
        <w:gridCol w:w="2372"/>
      </w:tblGrid>
      <w:tr>
        <w:trPr/>
        <w:tc>
          <w:tcPr>
            <w:tcW w:w="8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r>
      <w:tr>
        <w:trPr/>
        <w:tc>
          <w:tcPr>
            <w:tcW w:w="218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Star Group, L.P.</w:t>
            </w:r>
          </w:p>
        </w:tc>
      </w:tr>
      <w:tr>
        <w:trPr/>
        <w:tc>
          <w:tcPr>
            <w:tcW w:w="456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Kestrel Heat LLC AS GENERAL PARTNER</w:t>
            </w:r>
          </w:p>
        </w:tc>
      </w:tr>
    </w:tbl>
    <w:p>
      <w:pPr>
        <w:pStyle w:val="TextBody"/>
        <w:bidi w:val="0"/>
        <w:jc w:val="left"/>
        <w:rPr/>
      </w:pPr>
      <w:r>
        <w:rPr/>
        <w:t> </w:t>
      </w:r>
    </w:p>
    <w:tbl>
      <w:tblPr>
        <w:tblW w:w="8136" w:type="dxa"/>
        <w:jc w:val="left"/>
        <w:tblInd w:w="0" w:type="dxa"/>
        <w:tblLayout w:type="fixed"/>
        <w:tblCellMar>
          <w:top w:w="28" w:type="dxa"/>
          <w:left w:w="28" w:type="dxa"/>
          <w:bottom w:w="28" w:type="dxa"/>
          <w:right w:w="28" w:type="dxa"/>
        </w:tblCellMar>
      </w:tblPr>
      <w:tblGrid>
        <w:gridCol w:w="1906"/>
        <w:gridCol w:w="547"/>
        <w:gridCol w:w="4141"/>
        <w:gridCol w:w="146"/>
        <w:gridCol w:w="1396"/>
      </w:tblGrid>
      <w:tr>
        <w:trPr/>
        <w:tc>
          <w:tcPr>
            <w:tcW w:w="190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5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Richard F. Ambury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 F. Ambury</w:t>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jc w:val="center"/>
              <w:rPr>
                <w:rFonts w:ascii="Times New Roman" w:hAnsi="Times New Roman"/>
                <w:color w:val="000000"/>
                <w:sz w:val="20"/>
              </w:rPr>
            </w:pPr>
            <w:r>
              <w:rPr>
                <w:rFonts w:ascii="Times New Roman" w:hAnsi="Times New Roman"/>
                <w:color w:val="000000"/>
                <w:sz w:val="20"/>
              </w:rPr>
              <w:t>Treasurer and Secretary of Kestrel Heat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547" w:type="dxa"/>
            <w:tcBorders>
              <w:bottom w:val="single" w:sz="4" w:space="0" w:color="000000"/>
            </w:tcBorders>
            <w:tcMar>
              <w:top w:w="0" w:type="dxa"/>
              <w:left w:w="0" w:type="dxa"/>
              <w:right w:w="0" w:type="dxa"/>
            </w:tcMar>
            <w:vAlign w:val="center"/>
          </w:tcPr>
          <w:p>
            <w:pPr>
              <w:pStyle w:val="TableContents"/>
              <w:bidi w:val="0"/>
              <w:spacing w:before="0" w:after="283"/>
              <w:ind w:left="0" w:right="0" w:firstLine="401"/>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1"/>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Cory A. Czekanski</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Cory A. Czekanski</w:t>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Vice President – Controller of Kestrel Heat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1" w:name="sgu-ex31_1.htm"/>
      <w:bookmarkStart w:id="32" w:name="kssguex31_1"/>
      <w:bookmarkEnd w:id="31"/>
      <w:bookmarkEnd w:id="32"/>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Jeffrey M. Woosnam,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Star Group, L.P.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283"/>
              <w:jc w:val="left"/>
              <w:rPr>
                <w:sz w:val="4"/>
                <w:szCs w:val="4"/>
              </w:rPr>
            </w:pPr>
            <w:r>
              <w:rPr>
                <w:sz w:val="4"/>
                <w:szCs w:val="4"/>
              </w:rPr>
            </w:r>
          </w:p>
        </w:tc>
      </w:tr>
      <w:tr>
        <w:trPr/>
        <w:tc>
          <w:tcPr>
            <w:tcW w:w="334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3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August 5, 2026</w:t>
            </w:r>
          </w:p>
        </w:tc>
      </w:tr>
      <w:tr>
        <w:trPr/>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M. Woosnam</w:t>
            </w:r>
          </w:p>
        </w:tc>
      </w:tr>
      <w:tr>
        <w:trPr/>
        <w:tc>
          <w:tcPr>
            <w:tcW w:w="3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Jeffrey M. Woosnam</w:t>
            </w:r>
          </w:p>
        </w:tc>
      </w:tr>
      <w:tr>
        <w:trPr/>
        <w:tc>
          <w:tcPr>
            <w:tcW w:w="3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3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 Group, L.P.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3" w:name="sgu-ex31_2.htm"/>
      <w:bookmarkStart w:id="34" w:name="kssguex31_2"/>
      <w:bookmarkEnd w:id="33"/>
      <w:bookmarkEnd w:id="34"/>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Richard F. Ambury,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Star Group, L.P.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August 5, 2026</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F. Ambury</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 F. Ambury</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 Group, L.P.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5" w:name="sgu-ex32_1.htm"/>
      <w:bookmarkStart w:id="36" w:name="kssguex32_1"/>
      <w:bookmarkEnd w:id="35"/>
      <w:bookmarkEnd w:id="36"/>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Star Group, L.P. (the “Company”) on Form 10-Q for the quarterly period ended June 30, 2026, as filed with the Securities and Exchange Commission on the date hereof (the “Report”), I, Jeffrey M. Woosnam, President and Chief Executive Officer of the Company, certify to my knowledge pursuant to 18 U.S.C. Section 1350, as adopted pursuant to Section 906 of the Sarbanes-Oxley Act of 2002, following due inquiry, I believe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Star Group, L.P. and will be retained by Star Group, L.P. and furnished to the Securities and Exchange Commission or its staff upon request. </w:t>
      </w:r>
    </w:p>
    <w:p>
      <w:pPr>
        <w:pStyle w:val="TextBody"/>
        <w:bidi w:val="0"/>
        <w:jc w:val="left"/>
        <w:rPr/>
      </w:pPr>
      <w:r>
        <w:rPr/>
        <w:t> </w:t>
      </w:r>
    </w:p>
    <w:tbl>
      <w:tblPr>
        <w:tblW w:w="5980" w:type="dxa"/>
        <w:jc w:val="left"/>
        <w:tblInd w:w="0" w:type="dxa"/>
        <w:tblLayout w:type="fixed"/>
        <w:tblCellMar>
          <w:top w:w="28" w:type="dxa"/>
          <w:left w:w="28" w:type="dxa"/>
          <w:bottom w:w="28" w:type="dxa"/>
          <w:right w:w="28" w:type="dxa"/>
        </w:tblCellMar>
      </w:tblPr>
      <w:tblGrid>
        <w:gridCol w:w="1846"/>
        <w:gridCol w:w="146"/>
        <w:gridCol w:w="406"/>
        <w:gridCol w:w="146"/>
        <w:gridCol w:w="343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8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STAR GROUP, L.P.</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KESTREL HEAT, LLC (General Partner)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M. Woosnam</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Jeffrey M. Woosnam</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 Group, L.P.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7" w:name="sgu-ex32_2.htm"/>
      <w:bookmarkStart w:id="38" w:name="kssguex32_2"/>
      <w:bookmarkEnd w:id="37"/>
      <w:bookmarkEnd w:id="38"/>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Star Group, L.P. (the “Company”) on Form 10-Q for the quarterly period ended June 30, 2026, as filed with the Securities and Exchange Commission on the date hereof (the “Report”), I, Richard F. Ambury, Chief Financial Officer of the Company, certify to my knowledge pursuant to 18 U.S.C. Section 1350, as adopted pursuant to Section 906 of the Sarbanes-Oxley Act of 2002, following due inquiry, I believe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Star Group, L.P. and will be retained by Star Group, L.P. and furnished to the Securities and Exchange Commission or its staff upon request. </w:t>
      </w:r>
    </w:p>
    <w:p>
      <w:pPr>
        <w:pStyle w:val="TextBody"/>
        <w:bidi w:val="0"/>
        <w:jc w:val="left"/>
        <w:rPr/>
      </w:pPr>
      <w:r>
        <w:rPr/>
        <w:t> </w:t>
      </w:r>
    </w:p>
    <w:tbl>
      <w:tblPr>
        <w:tblW w:w="5980" w:type="dxa"/>
        <w:jc w:val="left"/>
        <w:tblInd w:w="0" w:type="dxa"/>
        <w:tblLayout w:type="fixed"/>
        <w:tblCellMar>
          <w:top w:w="28" w:type="dxa"/>
          <w:left w:w="28" w:type="dxa"/>
          <w:bottom w:w="28" w:type="dxa"/>
          <w:right w:w="28" w:type="dxa"/>
        </w:tblCellMar>
      </w:tblPr>
      <w:tblGrid>
        <w:gridCol w:w="1846"/>
        <w:gridCol w:w="146"/>
        <w:gridCol w:w="406"/>
        <w:gridCol w:w="146"/>
        <w:gridCol w:w="343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8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STAR GROUP, L.P.</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KESTREL HEAT, LLC (General Partner)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F. Ambury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 F. Ambury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 Group, L.P.</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002590/000119312506104640/dex31.htm" TargetMode="External"/><Relationship Id="rId3" Type="http://schemas.openxmlformats.org/officeDocument/2006/relationships/hyperlink" Target="https://www.sec.gov/Archives/edgar/data/0001002590/000119312517322706/d480849dex31.htm" TargetMode="External"/><Relationship Id="rId4" Type="http://schemas.openxmlformats.org/officeDocument/2006/relationships/hyperlink" Target="https://www.sec.gov/Archives/edgar/data/0001002590/000119312517334126/d489060dex31.htm" TargetMode="External"/><Relationship Id="rId5" Type="http://schemas.openxmlformats.org/officeDocument/2006/relationships/hyperlink" Target="https://www.sec.gov/Archives/edgar/data/1002590/000095017023009760/sgu-ex3_1.htm" TargetMode="External"/><Relationship Id="rId6" Type="http://schemas.openxmlformats.org/officeDocument/2006/relationships/hyperlink" Target="https://www.sec.gov/Archives/edgar/data/1002590/000095017023009740/sgu-ex4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23658</Words>
  <Characters>127213</Characters>
  <CharactersWithSpaces>152349</CharactersWithSpaces>
  <Paragraphs>7495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