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April 16, 2026</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_______________________________</w:t>
      </w:r>
    </w:p>
    <w:p>
      <w:pPr>
        <w:sectPr>
          <w:pgSz w:w="11900" w:h="16838" w:orient="portrait"/>
          <w:cols w:equalWidth="0" w:num="1">
            <w:col w:w="11240"/>
          </w:cols>
          <w:pgMar w:left="320" w:top="738" w:right="339" w:bottom="1440" w:gutter="0" w:footer="0" w:header="0"/>
        </w:sectPr>
      </w:pPr>
    </w:p>
    <w:p>
      <w:pPr>
        <w:spacing w:after="0" w:line="203"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001-14129</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06-1437793</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80" w:space="720"/>
            <w:col w:w="3100"/>
          </w:cols>
          <w:pgMar w:left="320" w:top="73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 West Broad Street, Suite 310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Stamford, CT 06902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(203) 328-7310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198"/>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40" w:hanging="198"/>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198"/>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198"/>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432"/>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Units</w:t>
            </w:r>
          </w:p>
        </w:tc>
        <w:tc>
          <w:tcPr>
            <w:tcW w:w="2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SGU</w:t>
            </w:r>
          </w:p>
        </w:tc>
        <w:tc>
          <w:tcPr>
            <w:tcW w:w="4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Unit Purchase Rights</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0" w:firstLine="360"/>
        <w:spacing w:after="0" w:line="282" w:lineRule="auto"/>
        <w:rPr>
          <w:sz w:val="20"/>
          <w:szCs w:val="20"/>
          <w:color w:val="auto"/>
        </w:rPr>
      </w:pPr>
      <w:r>
        <w:rPr>
          <w:rFonts w:ascii="Times New Roman" w:cs="Times New Roman" w:eastAsia="Times New Roman" w:hAnsi="Times New Roman"/>
          <w:sz w:val="18"/>
          <w:szCs w:val="18"/>
          <w:color w:val="auto"/>
        </w:rPr>
        <w:t>On April 16, 2026, Star Group, L.P., a Delaware partnership, issued a press release declaring its quarterly distribution on all units for the fiscal second quarter ended March 31, 2026. A copy of the press release is furnished within this report as Exhibit 99.1.</w:t>
      </w:r>
    </w:p>
    <w:p>
      <w:pPr>
        <w:spacing w:after="0" w:line="162" w:lineRule="exact"/>
        <w:rPr>
          <w:sz w:val="20"/>
          <w:szCs w:val="20"/>
          <w:color w:val="auto"/>
        </w:rPr>
      </w:pPr>
    </w:p>
    <w:p>
      <w:pPr>
        <w:ind w:right="280" w:firstLine="360"/>
        <w:spacing w:after="0" w:line="266" w:lineRule="auto"/>
        <w:rPr>
          <w:sz w:val="20"/>
          <w:szCs w:val="20"/>
          <w:color w:val="auto"/>
        </w:rPr>
      </w:pPr>
      <w:r>
        <w:rPr>
          <w:rFonts w:ascii="Times New Roman" w:cs="Times New Roman" w:eastAsia="Times New Roman" w:hAnsi="Times New Roman"/>
          <w:sz w:val="18"/>
          <w:szCs w:val="18"/>
          <w:color w:val="auto"/>
        </w:rPr>
        <w:t>The information in this report is being furnished and is not deemed as "filed" for purposes of Section 18 of the Securities Exchange Act of 1934, as amended, and shall not be deemed incorporated by reference in any filings under the Securities Act of 1933, as amended, unless specifically stated so therein.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w w:val="98"/>
              </w:rPr>
              <w:t>Exhibit 99.1</w:t>
            </w:r>
          </w:p>
        </w:tc>
        <w:tc>
          <w:tcPr>
            <w:tcW w:w="840" w:type="dxa"/>
            <w:vAlign w:val="bottom"/>
          </w:tcPr>
          <w:p>
            <w:pPr>
              <w:spacing w:after="0"/>
              <w:rPr>
                <w:sz w:val="17"/>
                <w:szCs w:val="17"/>
                <w:color w:val="auto"/>
              </w:rPr>
            </w:pPr>
          </w:p>
        </w:tc>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A copy of the Star Group L.P. Press Release dated April 16, 2026</w:t>
            </w:r>
          </w:p>
        </w:tc>
      </w:tr>
      <w:tr>
        <w:trPr>
          <w:trHeight w:val="20"/>
        </w:trPr>
        <w:tc>
          <w:tcPr>
            <w:tcW w:w="9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700" w:type="dxa"/>
            <w:vAlign w:val="bottom"/>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23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4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193"/>
        </w:trPr>
        <w:tc>
          <w:tcPr>
            <w:tcW w:w="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60" w:type="dxa"/>
            <w:vAlign w:val="bottom"/>
          </w:tcPr>
          <w:p>
            <w:pPr>
              <w:spacing w:after="0"/>
              <w:rPr>
                <w:sz w:val="19"/>
                <w:szCs w:val="19"/>
                <w:color w:val="auto"/>
              </w:rPr>
            </w:pPr>
          </w:p>
        </w:tc>
        <w:tc>
          <w:tcPr>
            <w:tcW w:w="500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rPr>
              <w:t>STAR GROUP, L.P.</w:t>
            </w:r>
          </w:p>
        </w:tc>
      </w:tr>
      <w:tr>
        <w:trPr>
          <w:trHeight w:val="234"/>
        </w:trPr>
        <w:tc>
          <w:tcPr>
            <w:tcW w:w="3560" w:type="dxa"/>
            <w:vAlign w:val="bottom"/>
          </w:tcPr>
          <w:p>
            <w:pPr>
              <w:spacing w:after="0"/>
              <w:rPr>
                <w:sz w:val="20"/>
                <w:szCs w:val="20"/>
                <w:color w:val="auto"/>
              </w:rPr>
            </w:pPr>
          </w:p>
        </w:tc>
        <w:tc>
          <w:tcPr>
            <w:tcW w:w="500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w w:val="99"/>
              </w:rPr>
              <w:t>By: Kestrel Heat, LLC (General Partner)</w:t>
            </w:r>
          </w:p>
        </w:tc>
      </w:tr>
      <w:tr>
        <w:trPr>
          <w:trHeight w:val="60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16, 2026</w:t>
            </w:r>
          </w:p>
        </w:tc>
        <w:tc>
          <w:tcPr>
            <w:tcW w:w="500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Richard F. Ambury</w:t>
            </w:r>
          </w:p>
        </w:tc>
      </w:tr>
      <w:tr>
        <w:trPr>
          <w:trHeight w:val="218"/>
        </w:trPr>
        <w:tc>
          <w:tcPr>
            <w:tcW w:w="3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F. Ambury</w:t>
            </w:r>
          </w:p>
        </w:tc>
        <w:tc>
          <w:tcPr>
            <w:tcW w:w="66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00"/>
          </w:cols>
          <w:pgMar w:left="320" w:top="792"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Star Group, L.P. Increases Annual Distribution by 5 Cents, to 79 Cents per Unit</w:t>
      </w:r>
    </w:p>
    <w:p>
      <w:pPr>
        <w:spacing w:after="0" w:line="2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STAMFORD, Conn., April 16, 2026 (GLOBE NEWSWIRE) -- Star Group, L.P. (the “Company” or “Star”) (NYSE:SGU), a home energy distributor and services provider, today announced that it has increased its quarterly distribution for the three months ended March 31, 2026 to $0.1975 per common unit from $0.1850 per common unit – representing an increase of $0.05 annually, to $0.79. This marks the 14th year of continuous annual increases in the Company’s dividend.</w:t>
      </w:r>
    </w:p>
    <w:p>
      <w:pPr>
        <w:spacing w:after="0" w:line="180"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Record date: April 27, 2026</w:t>
      </w:r>
    </w:p>
    <w:p>
      <w:pPr>
        <w:spacing w:after="0" w:line="14"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date: May 6,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Star Group, L.P.</w:t>
      </w:r>
    </w:p>
    <w:p>
      <w:pPr>
        <w:spacing w:after="0" w:line="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Star Group, L.P. is a full service provider specializing in the sale of home heating products and services to residential and commercial customers to heat their homes and buildings. The Company also sells and services heating and air conditioning equipment to its home heating oil and propane customers and, to a lesser extent, provides these offerings to customers outside of its home heating oil and propane customer base. Star also sells diesel, gasoline and home heating oil on a delivery only basis. We believe Star is the nation's largest retail distributor of home heating oil based upon sales volume. Including its propane locations, Star serves customers in the more northern and eastern states within the Northeast and Mid-Atlantic U.S. regions. Additional information is available by obtaining the Company's SEC filings at www.sec.gov and by visiting Star's website at www.stargrouplp.com, where unit holders may request a hard copy of Star’s complete audited financial statements free of charge.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 Looking Information</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This news release includes “forward-looking statements” which represent the Company’s expectations or beliefs concerning future events that involve risks and uncertainties, including the impact of geopolitical events on wholesale product cost volatility, tariff regimes, including newly imposed U.S. tariffs and any additional responsive non-U.S. tariffs or additional U.S. tariffs, the price and supply of the products that we sell, our ability to purchase sufficient quantities of product to meet our customer’s needs, rapid increases in levels of inflation, the consumption patterns of our customers, our ability to obtain satisfactory gross profit margins, the effect of weather conditions on our financial performance, our ability to obtain new customers and retain existing customers, our ability to make strategic acquisitions, the impact of litigation, natural gas conversions and electrification of heating systems, pandemic and future global health pandemics, recessionary economic conditions, future union relations and the outcome of current and future union negotiations, the impact of current and future governmental regulations, including federal, state and municipal laws restricting greenhouse gases (“GHG”) emissions and federal, state and local environmental, health, and safety regulations, the ability to attract and retain employees, customer credit worthiness, counterparty credit worthiness, marketing plans, cyber-attacks, global supply chain issues, labor shortages and new technology, including alternative methods for heating and cooling residences. All statements other than statements of historical facts included in this Report including, without limitation, the statements under “Management’s Discussion and Analysis of Financial Condition and Results of Operations” and elsewhere herein, are forward-looking statements. Without limiting the foregoing, the words “believe,” “anticipate,” “plan,” “expect,” “seek,” “estimate,” and similar expressions are intended to identify forward-looking statements. Although we believe that the expectations reflected in such forward-looking statements are reasonable, we can give no assurance that such expectations will prove to be correct. Actual results may differ materially from those projected as a result of certain risks and uncertainties. These risks and uncertainties include, but are not limited to, those set forth under the heading “Risk Factors” and “Business Strategy” in our Annual Report on Form 10-K (the “Form 10-K”) for the fiscal year ended September 30, 2025. Important factors that could cause actual results to differ materially from the Company’s expectations (“Cautionary Statements”) are disclosed in this news release and in the Company’s Form 10-K and our Quarterly Reports on Form 10-Q. All subsequent written and oral forward-looking statements attributable to the Company or persons acting on its behalf are expressly qualified in their entirety by the Cautionary Statements. Unless otherwise required by law, the Company undertakes no obligation to update or revise any forward-looking statements, whether as a result of new information, future events or otherwise after the date of this news release.</w:t>
      </w:r>
    </w:p>
    <w:p>
      <w:pPr>
        <w:sectPr>
          <w:pgSz w:w="11900" w:h="16838" w:orient="portrait"/>
          <w:cols w:equalWidth="0" w:num="1">
            <w:col w:w="11240"/>
          </w:cols>
          <w:pgMar w:left="320" w:top="108" w:right="339" w:bottom="1440" w:gutter="0" w:footer="0" w:header="0"/>
        </w:sectPr>
      </w:pP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Star Group, L. P.</w:t>
      </w:r>
    </w:p>
    <w:p>
      <w:pPr>
        <w:ind w:left="20"/>
        <w:spacing w:after="0"/>
        <w:rPr>
          <w:sz w:val="20"/>
          <w:szCs w:val="20"/>
          <w:color w:val="auto"/>
        </w:rPr>
      </w:pPr>
      <w:r>
        <w:rPr>
          <w:rFonts w:ascii="Times New Roman" w:cs="Times New Roman" w:eastAsia="Times New Roman" w:hAnsi="Times New Roman"/>
          <w:sz w:val="21"/>
          <w:szCs w:val="21"/>
          <w:color w:val="auto"/>
        </w:rPr>
        <w:t>Investor Relations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203/328-7310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 Witty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Darrow Associates</w:t>
      </w:r>
    </w:p>
    <w:p>
      <w:pPr>
        <w:spacing w:after="0"/>
        <w:rPr>
          <w:sz w:val="20"/>
          <w:szCs w:val="20"/>
          <w:color w:val="auto"/>
        </w:rPr>
      </w:pPr>
      <w:r>
        <w:rPr>
          <w:rFonts w:ascii="Times New Roman" w:cs="Times New Roman" w:eastAsia="Times New Roman" w:hAnsi="Times New Roman"/>
          <w:sz w:val="21"/>
          <w:szCs w:val="21"/>
          <w:color w:val="auto"/>
        </w:rPr>
        <w:t>646/438-9385 or cwitty@darrowir.com</w:t>
      </w:r>
    </w:p>
    <w:sectPr>
      <w:pgSz w:w="11900" w:h="16838" w:orient="portrait"/>
      <w:cols w:equalWidth="0" w:num="2">
        <w:col w:w="4920" w:space="720"/>
        <w:col w:w="560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2026-04-16T11:02:47Z</dcterms:created>
  <dcterms:modified xsi:type="dcterms:W3CDTF">2026-04-16T11:02:47Z</dcterms:modified>
</cp:coreProperties>
</file>