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187960</wp:posOffset>
            </wp:positionH>
            <wp:positionV relativeFrom="page">
              <wp:posOffset>137160</wp:posOffset>
            </wp:positionV>
            <wp:extent cx="717359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3595" cy="29845"/>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214630</wp:posOffset>
            </wp:positionV>
            <wp:extent cx="717359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3595" cy="571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3"/>
          <w:szCs w:val="13"/>
          <w:color w:val="auto"/>
        </w:rPr>
        <w:t>_________________</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8-K</w:t>
      </w:r>
    </w:p>
    <w:p>
      <w:pPr>
        <w:spacing w:after="0" w:line="17"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3"/>
          <w:szCs w:val="13"/>
          <w:color w:val="auto"/>
        </w:rPr>
        <w:t>_________________</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6,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_______________________________</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STAR GROUP, L.P.</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_______________________________</w:t>
      </w:r>
    </w:p>
    <w:p>
      <w:pPr>
        <w:sectPr>
          <w:pgSz w:w="11900" w:h="16838" w:orient="portrait"/>
          <w:cols w:equalWidth="0" w:num="1">
            <w:col w:w="11300"/>
          </w:cols>
          <w:pgMar w:left="300" w:top="559" w:right="299" w:bottom="1440" w:gutter="0" w:footer="0" w:header="0"/>
        </w:sectPr>
      </w:pPr>
    </w:p>
    <w:p>
      <w:pPr>
        <w:spacing w:after="0" w:line="138"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1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001-14129</w:t>
      </w:r>
    </w:p>
    <w:p>
      <w:pPr>
        <w:spacing w:after="0" w:line="17"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3"/>
          <w:szCs w:val="13"/>
          <w:b w:val="1"/>
          <w:bCs w:val="1"/>
          <w:color w:val="auto"/>
        </w:rPr>
        <w:t>06-1437793</w:t>
      </w:r>
    </w:p>
    <w:p>
      <w:pPr>
        <w:spacing w:after="0" w:line="17"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49" w:lineRule="exact"/>
        <w:rPr>
          <w:sz w:val="24"/>
          <w:szCs w:val="24"/>
          <w:color w:val="auto"/>
        </w:rPr>
      </w:pPr>
    </w:p>
    <w:p>
      <w:pPr>
        <w:sectPr>
          <w:pgSz w:w="11900" w:h="16838" w:orient="portrait"/>
          <w:cols w:equalWidth="0" w:num="3">
            <w:col w:w="4240" w:space="720"/>
            <w:col w:w="2900" w:space="720"/>
            <w:col w:w="2720"/>
          </w:cols>
          <w:pgMar w:left="300" w:top="559"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9 West Broad Street, Suite 310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Stamford, CT 06902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(203) 328-7310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138"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3"/>
          <w:szCs w:val="13"/>
          <w:color w:val="auto"/>
        </w:rPr>
        <w:t>_______________________________</w:t>
      </w:r>
    </w:p>
    <w:p>
      <w:pPr>
        <w:sectPr>
          <w:pgSz w:w="11900" w:h="16838" w:orient="portrait"/>
          <w:cols w:equalWidth="0" w:num="1">
            <w:col w:w="11300"/>
          </w:cols>
          <w:pgMar w:left="300" w:top="559" w:right="299" w:bottom="1440" w:gutter="0" w:footer="0" w:header="0"/>
          <w:type w:val="continuous"/>
        </w:sectPr>
      </w:pP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53" w:lineRule="exact"/>
        <w:rPr>
          <w:sz w:val="24"/>
          <w:szCs w:val="24"/>
          <w:color w:val="auto"/>
        </w:rPr>
      </w:pPr>
    </w:p>
    <w:p>
      <w:pPr>
        <w:ind w:left="220" w:hanging="168"/>
        <w:spacing w:after="0"/>
        <w:tabs>
          <w:tab w:leader="none" w:pos="2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5" w:lineRule="exact"/>
        <w:rPr>
          <w:rFonts w:ascii="MS PGothic" w:cs="MS PGothic" w:eastAsia="MS PGothic" w:hAnsi="MS PGothic"/>
          <w:sz w:val="13"/>
          <w:szCs w:val="13"/>
          <w:color w:val="auto"/>
        </w:rPr>
      </w:pPr>
    </w:p>
    <w:p>
      <w:pPr>
        <w:ind w:left="220" w:hanging="168"/>
        <w:spacing w:after="0"/>
        <w:tabs>
          <w:tab w:leader="none" w:pos="2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 w:lineRule="exact"/>
        <w:rPr>
          <w:rFonts w:ascii="MS PGothic" w:cs="MS PGothic" w:eastAsia="MS PGothic" w:hAnsi="MS PGothic"/>
          <w:sz w:val="13"/>
          <w:szCs w:val="13"/>
          <w:color w:val="auto"/>
        </w:rPr>
      </w:pPr>
    </w:p>
    <w:p>
      <w:pPr>
        <w:ind w:left="220" w:hanging="168"/>
        <w:spacing w:after="0"/>
        <w:tabs>
          <w:tab w:leader="none" w:pos="2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 w:lineRule="exact"/>
        <w:rPr>
          <w:rFonts w:ascii="MS PGothic" w:cs="MS PGothic" w:eastAsia="MS PGothic" w:hAnsi="MS PGothic"/>
          <w:sz w:val="13"/>
          <w:szCs w:val="13"/>
          <w:color w:val="auto"/>
        </w:rPr>
      </w:pPr>
    </w:p>
    <w:p>
      <w:pPr>
        <w:ind w:left="220" w:hanging="168"/>
        <w:spacing w:after="0"/>
        <w:tabs>
          <w:tab w:leader="none" w:pos="2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00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302"/>
        </w:trPr>
        <w:tc>
          <w:tcPr>
            <w:tcW w:w="4280" w:type="dxa"/>
            <w:vAlign w:val="bottom"/>
            <w:tcBorders>
              <w:bottom w:val="single" w:sz="8" w:color="auto"/>
            </w:tcBorders>
          </w:tcPr>
          <w:p>
            <w:pPr>
              <w:jc w:val="center"/>
              <w:ind w:left="277"/>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300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5"/>
              </w:rPr>
              <w:t>Trading Symbol(s)</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28"/>
        </w:trPr>
        <w:tc>
          <w:tcPr>
            <w:tcW w:w="4280" w:type="dxa"/>
            <w:vAlign w:val="bottom"/>
          </w:tcPr>
          <w:p>
            <w:pPr>
              <w:jc w:val="center"/>
              <w:ind w:left="277"/>
              <w:spacing w:after="0" w:line="128" w:lineRule="exact"/>
              <w:rPr>
                <w:sz w:val="20"/>
                <w:szCs w:val="20"/>
                <w:color w:val="auto"/>
              </w:rPr>
            </w:pPr>
            <w:r>
              <w:rPr>
                <w:rFonts w:ascii="Times New Roman" w:cs="Times New Roman" w:eastAsia="Times New Roman" w:hAnsi="Times New Roman"/>
                <w:sz w:val="13"/>
                <w:szCs w:val="13"/>
                <w:color w:val="auto"/>
                <w:w w:val="97"/>
              </w:rPr>
              <w:t>Common Units</w:t>
            </w:r>
          </w:p>
        </w:tc>
        <w:tc>
          <w:tcPr>
            <w:tcW w:w="3000" w:type="dxa"/>
            <w:vAlign w:val="bottom"/>
          </w:tcPr>
          <w:p>
            <w:pPr>
              <w:jc w:val="center"/>
              <w:ind w:left="237"/>
              <w:spacing w:after="0" w:line="128" w:lineRule="exact"/>
              <w:rPr>
                <w:sz w:val="20"/>
                <w:szCs w:val="20"/>
                <w:color w:val="auto"/>
              </w:rPr>
            </w:pPr>
            <w:r>
              <w:rPr>
                <w:rFonts w:ascii="Times New Roman" w:cs="Times New Roman" w:eastAsia="Times New Roman" w:hAnsi="Times New Roman"/>
                <w:sz w:val="13"/>
                <w:szCs w:val="13"/>
                <w:color w:val="auto"/>
                <w:w w:val="99"/>
              </w:rPr>
              <w:t>SGU</w:t>
            </w:r>
          </w:p>
        </w:tc>
        <w:tc>
          <w:tcPr>
            <w:tcW w:w="40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5"/>
              </w:rPr>
              <w:t>New York Stock Exchange</w:t>
            </w:r>
          </w:p>
        </w:tc>
      </w:tr>
      <w:tr>
        <w:trPr>
          <w:trHeight w:val="164"/>
        </w:trPr>
        <w:tc>
          <w:tcPr>
            <w:tcW w:w="4280" w:type="dxa"/>
            <w:vAlign w:val="bottom"/>
          </w:tcPr>
          <w:p>
            <w:pPr>
              <w:jc w:val="center"/>
              <w:ind w:left="277"/>
              <w:spacing w:after="0"/>
              <w:rPr>
                <w:sz w:val="20"/>
                <w:szCs w:val="20"/>
                <w:color w:val="auto"/>
              </w:rPr>
            </w:pPr>
            <w:r>
              <w:rPr>
                <w:rFonts w:ascii="Times New Roman" w:cs="Times New Roman" w:eastAsia="Times New Roman" w:hAnsi="Times New Roman"/>
                <w:sz w:val="13"/>
                <w:szCs w:val="13"/>
                <w:color w:val="auto"/>
                <w:w w:val="97"/>
              </w:rPr>
              <w:t>Common Unit Purchase Rights</w:t>
            </w:r>
          </w:p>
        </w:tc>
        <w:tc>
          <w:tcPr>
            <w:tcW w:w="300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8"/>
              </w:rPr>
              <w:t>N/A</w:t>
            </w:r>
          </w:p>
        </w:tc>
        <w:tc>
          <w:tcPr>
            <w:tcW w:w="4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r>
    </w:tbl>
    <w:p>
      <w:pPr>
        <w:spacing w:after="0" w:line="138" w:lineRule="exact"/>
        <w:rPr>
          <w:sz w:val="24"/>
          <w:szCs w:val="24"/>
          <w:color w:val="auto"/>
        </w:rPr>
      </w:pPr>
    </w:p>
    <w:p>
      <w:pPr>
        <w:jc w:val="both"/>
        <w:ind w:right="40"/>
        <w:spacing w:after="0" w:line="266"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1" w:lineRule="exact"/>
        <w:rPr>
          <w:sz w:val="24"/>
          <w:szCs w:val="24"/>
          <w:color w:val="auto"/>
        </w:rPr>
      </w:pPr>
    </w:p>
    <w:p>
      <w:pPr>
        <w:ind w:right="400"/>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335280</wp:posOffset>
            </wp:positionV>
            <wp:extent cx="717359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3595" cy="29845"/>
                    </a:xfrm>
                    <a:prstGeom prst="rect">
                      <a:avLst/>
                    </a:prstGeom>
                    <a:noFill/>
                  </pic:spPr>
                </pic:pic>
              </a:graphicData>
            </a:graphic>
          </wp:anchor>
        </w:drawing>
      </w:r>
    </w:p>
    <w:p>
      <w:pPr>
        <w:sectPr>
          <w:pgSz w:w="11900" w:h="16838" w:orient="portrait"/>
          <w:cols w:equalWidth="0" w:num="1">
            <w:col w:w="11300"/>
          </w:cols>
          <w:pgMar w:left="300" w:top="559"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Item 2.02. Results of Operations and Financial Condition.</w:t>
      </w:r>
    </w:p>
    <w:p>
      <w:pPr>
        <w:spacing w:after="0" w:line="155" w:lineRule="exact"/>
        <w:rPr>
          <w:sz w:val="20"/>
          <w:szCs w:val="20"/>
          <w:color w:val="auto"/>
        </w:rPr>
      </w:pPr>
    </w:p>
    <w:p>
      <w:pPr>
        <w:ind w:firstLine="308"/>
        <w:spacing w:after="0" w:line="266" w:lineRule="auto"/>
        <w:rPr>
          <w:sz w:val="20"/>
          <w:szCs w:val="20"/>
          <w:color w:val="auto"/>
        </w:rPr>
      </w:pPr>
      <w:r>
        <w:rPr>
          <w:rFonts w:ascii="Times New Roman" w:cs="Times New Roman" w:eastAsia="Times New Roman" w:hAnsi="Times New Roman"/>
          <w:sz w:val="13"/>
          <w:szCs w:val="13"/>
          <w:color w:val="auto"/>
        </w:rPr>
        <w:t>On May 6, 2026, Star Group, L.P., a Delaware partnership, issued a press release announcing its financial results for the fiscal second quarter ended March 31, 2026. A copy of the press release is furnished within this report as Exhibit 99.1.</w:t>
      </w:r>
    </w:p>
    <w:p>
      <w:pPr>
        <w:spacing w:after="0" w:line="122" w:lineRule="exact"/>
        <w:rPr>
          <w:sz w:val="20"/>
          <w:szCs w:val="20"/>
          <w:color w:val="auto"/>
        </w:rPr>
      </w:pPr>
    </w:p>
    <w:p>
      <w:pPr>
        <w:ind w:firstLine="308"/>
        <w:spacing w:after="0" w:line="266" w:lineRule="auto"/>
        <w:rPr>
          <w:sz w:val="20"/>
          <w:szCs w:val="20"/>
          <w:color w:val="auto"/>
        </w:rPr>
      </w:pPr>
      <w:r>
        <w:rPr>
          <w:rFonts w:ascii="Times New Roman" w:cs="Times New Roman" w:eastAsia="Times New Roman" w:hAnsi="Times New Roman"/>
          <w:sz w:val="13"/>
          <w:szCs w:val="13"/>
          <w:color w:val="auto"/>
        </w:rPr>
        <w:t>The information in this report is being furnished and is not deemed as "filed" for purposes of Section 18 of the Securities Exchange Act of 1934, as amended, and shall not be deemed incorporated by reference in any filings under the Securities Act of 1933, as amended, unless specifically stated so therein.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3"/>
              </w:rPr>
              <w:t>Exhibit 99.1</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A copy of the Star Group, L.P. Press Release dated May 6, 2026</w:t>
            </w:r>
          </w:p>
        </w:tc>
        <w:tc>
          <w:tcPr>
            <w:tcW w:w="6400" w:type="dxa"/>
            <w:vAlign w:val="bottom"/>
          </w:tcPr>
          <w:p>
            <w:pPr>
              <w:spacing w:after="0"/>
              <w:rPr>
                <w:sz w:val="12"/>
                <w:szCs w:val="12"/>
                <w:color w:val="auto"/>
              </w:rPr>
            </w:pP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Exhibit 104</w:t>
            </w:r>
          </w:p>
        </w:tc>
        <w:tc>
          <w:tcPr>
            <w:tcW w:w="1016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r>
        <w:trPr>
          <w:trHeight w:val="1179"/>
        </w:trPr>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97" w:right="299" w:bottom="1440" w:gutter="0" w:footer="0" w:header="0"/>
        </w:sectPr>
      </w:pPr>
    </w:p>
    <w:bookmarkStart w:id="2" w:name="page3"/>
    <w:bookmarkEnd w:id="2"/>
    <w:p>
      <w:pPr>
        <w:ind w:left="528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20" w:type="dxa"/>
            <w:vAlign w:val="bottom"/>
          </w:tcPr>
          <w:p>
            <w:pPr>
              <w:spacing w:after="0"/>
              <w:rPr>
                <w:sz w:val="13"/>
                <w:szCs w:val="13"/>
                <w:color w:val="auto"/>
              </w:rPr>
            </w:pPr>
          </w:p>
        </w:tc>
        <w:tc>
          <w:tcPr>
            <w:tcW w:w="4420" w:type="dxa"/>
            <w:vAlign w:val="bottom"/>
            <w:gridSpan w:val="3"/>
          </w:tcPr>
          <w:p>
            <w:pPr>
              <w:ind w:left="2380"/>
              <w:spacing w:after="0"/>
              <w:rPr>
                <w:sz w:val="20"/>
                <w:szCs w:val="20"/>
                <w:color w:val="auto"/>
              </w:rPr>
            </w:pPr>
            <w:r>
              <w:rPr>
                <w:rFonts w:ascii="Times New Roman" w:cs="Times New Roman" w:eastAsia="Times New Roman" w:hAnsi="Times New Roman"/>
                <w:sz w:val="13"/>
                <w:szCs w:val="13"/>
                <w:b w:val="1"/>
                <w:bCs w:val="1"/>
                <w:color w:val="auto"/>
              </w:rPr>
              <w:t>STAR GROUP, L.P.</w:t>
            </w:r>
          </w:p>
        </w:tc>
      </w:tr>
      <w:tr>
        <w:trPr>
          <w:trHeight w:val="164"/>
        </w:trPr>
        <w:tc>
          <w:tcPr>
            <w:tcW w:w="3320" w:type="dxa"/>
            <w:vAlign w:val="bottom"/>
          </w:tcPr>
          <w:p>
            <w:pPr>
              <w:spacing w:after="0"/>
              <w:rPr>
                <w:sz w:val="14"/>
                <w:szCs w:val="14"/>
                <w:color w:val="auto"/>
              </w:rPr>
            </w:pPr>
          </w:p>
        </w:tc>
        <w:tc>
          <w:tcPr>
            <w:tcW w:w="4420" w:type="dxa"/>
            <w:vAlign w:val="bottom"/>
            <w:gridSpan w:val="3"/>
          </w:tcPr>
          <w:p>
            <w:pPr>
              <w:ind w:left="2380"/>
              <w:spacing w:after="0"/>
              <w:rPr>
                <w:sz w:val="20"/>
                <w:szCs w:val="20"/>
                <w:color w:val="auto"/>
              </w:rPr>
            </w:pPr>
            <w:r>
              <w:rPr>
                <w:rFonts w:ascii="Times New Roman" w:cs="Times New Roman" w:eastAsia="Times New Roman" w:hAnsi="Times New Roman"/>
                <w:sz w:val="13"/>
                <w:szCs w:val="13"/>
                <w:color w:val="auto"/>
                <w:w w:val="95"/>
              </w:rPr>
              <w:t>By: Kestrel Heat, LLC (General Partner)</w:t>
            </w:r>
          </w:p>
        </w:tc>
      </w:tr>
      <w:tr>
        <w:trPr>
          <w:trHeight w:val="425"/>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Date: May 6, 2026</w:t>
            </w:r>
          </w:p>
        </w:tc>
        <w:tc>
          <w:tcPr>
            <w:tcW w:w="4420" w:type="dxa"/>
            <w:vAlign w:val="bottom"/>
            <w:gridSpan w:val="3"/>
          </w:tcPr>
          <w:p>
            <w:pPr>
              <w:ind w:left="2380"/>
              <w:spacing w:after="0"/>
              <w:rPr>
                <w:sz w:val="20"/>
                <w:szCs w:val="20"/>
                <w:color w:val="auto"/>
              </w:rPr>
            </w:pPr>
            <w:r>
              <w:rPr>
                <w:rFonts w:ascii="Times New Roman" w:cs="Times New Roman" w:eastAsia="Times New Roman" w:hAnsi="Times New Roman"/>
                <w:sz w:val="13"/>
                <w:szCs w:val="13"/>
                <w:color w:val="auto"/>
              </w:rPr>
              <w:t>By: /s/ Richard F. Ambury</w:t>
            </w:r>
          </w:p>
        </w:tc>
      </w:tr>
      <w:tr>
        <w:trPr>
          <w:trHeight w:val="147"/>
        </w:trPr>
        <w:tc>
          <w:tcPr>
            <w:tcW w:w="3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8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3"/>
                <w:szCs w:val="13"/>
                <w:color w:val="auto"/>
              </w:rPr>
              <w:t>Richard F. Ambury</w:t>
            </w:r>
          </w:p>
        </w:tc>
        <w:tc>
          <w:tcPr>
            <w:tcW w:w="460" w:type="dxa"/>
            <w:vAlign w:val="bottom"/>
          </w:tcPr>
          <w:p>
            <w:pPr>
              <w:spacing w:after="0"/>
              <w:rPr>
                <w:sz w:val="12"/>
                <w:szCs w:val="12"/>
                <w:color w:val="auto"/>
              </w:rPr>
            </w:pPr>
          </w:p>
        </w:tc>
      </w:tr>
      <w:tr>
        <w:trPr>
          <w:trHeight w:val="164"/>
        </w:trPr>
        <w:tc>
          <w:tcPr>
            <w:tcW w:w="3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bl>
    <w:p>
      <w:pPr>
        <w:sectPr>
          <w:pgSz w:w="11900" w:h="16838" w:orient="portrait"/>
          <w:cols w:equalWidth="0" w:num="1">
            <w:col w:w="10159"/>
          </w:cols>
          <w:pgMar w:left="300" w:top="446" w:right="1440" w:bottom="1440" w:gutter="0" w:footer="0" w:header="0"/>
        </w:sectPr>
      </w:pPr>
    </w:p>
    <w:bookmarkStart w:id="3" w:name="page4"/>
    <w:bookmarkEnd w:id="3"/>
    <w:p>
      <w:pPr>
        <w:spacing w:after="0" w:line="7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Reports Fiscal 2026 Second Quarter Results</w:t>
      </w:r>
    </w:p>
    <w:p>
      <w:pPr>
        <w:spacing w:after="0" w:line="15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STAMFORD, Conn., May 06, 2026 (GLOBE NEWSWIRE) -- Star Group, L.P. (the "Company" or "Star") (NYSE:SGU), a home energy distributor and services provider, today filed its quarterly report on Form 10-Q with the SEC and announced financial results for the fiscal 2026 second quarter, the three months ended March 31, 2026.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Three Months Ended March 31, 2026 Compared to the Three Months Ended March 31, 2025</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5"/>
          <w:szCs w:val="15"/>
          <w:color w:val="auto"/>
        </w:rPr>
        <w:t>For the fiscal 2026 second quarter, Star reported a 3.2 percent increase in total revenue to $766.7 million compared with $743.0 million in the prior-year period, reflecting higher heating oil and propane volumes sold. The amount of home heating oil and propane sold during the fiscal 2026 second quarter rose by 0.6 million gallons, or 0.4 percent, to 144.5 million gallons, as the additional volume provided from acquisitions and colder temperatures, more than offset the impact of net customer attrition and other factors. Temperatures in Star's geographic areas of operation for the three months ended March 31, 2026 were 6.4 percent colder than the three months ended March 31, 2025 and 2.8 percent colder than normal, as reported by the National Oceanic and Atmospheric Administration.</w:t>
      </w:r>
    </w:p>
    <w:p>
      <w:pPr>
        <w:spacing w:after="0" w:line="12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5"/>
          <w:szCs w:val="15"/>
          <w:color w:val="auto"/>
        </w:rPr>
        <w:t>Star’s net income rose by $22.4 million in the quarter, to $108.3 million, primarily due to a favorable change in the fair value of derivative instruments of $20.7 million, a $10.5 million increase in Adjusted EBITDA, a $0.6 million decrease in depreciation and amortization expense, and $0.4 million lower net interest expense, partially offset by a $9.7 million increase in income tax expense.</w:t>
      </w:r>
    </w:p>
    <w:p>
      <w:pPr>
        <w:spacing w:after="0" w:line="1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5"/>
          <w:szCs w:val="15"/>
          <w:color w:val="auto"/>
        </w:rPr>
        <w:t>The Company reported second quarter Adjusted EBITDA (a non-GAAP measure defined below) of $138.7 million, up $10.5 million year-over-year, primarily due to a $5.3 million increase in Adjusted EBITDA in the base business, $2.1 million higher Adjusted EBITDA from recent acquisitions, and a $3.1 million decrease in expense related to the Company's weather hedge contracts. The increase in Adjusted EBITDA in the base business was driven by the higher home heating oil and propane volume, due to colder weather, an increase in home heating oil and propane per gallon margins, and higher installation profitability, partially offset by an increase in operating expenses. While home heating oil and propane volume grew by just 0.4 percent during this period, the extreme weather conditions significantly impacted direct operating costs, which rose by $4.0 million, or 5.9 percent; insurance expense also increased by $4.0 million largely due to higher claims expense attributable to the weather. At the same time, the Company did not recognize any expense or benefit under its weather hedge contracts in the second quarter of fiscal 2026 (versus a $3.1 million expense recorded for the three months ended March 31, 2025) due to the fact that Star already recognized the cap of $5.0 million expense under its weather hedge contracts during the first quarter.</w:t>
      </w:r>
    </w:p>
    <w:p>
      <w:pPr>
        <w:spacing w:after="0" w:line="1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auto"/>
        </w:rPr>
        <w:t>“The second quarter was, in many ways, a continuation of conditions experienced in the first. Colder temperatures were the norm across much of our operating footprint, resulting in slightly higher heating oil and propane volumes sold, but the severe weather – including storms and high snowfall – also raised operating expenses,” said Jeff Woosnam, Star Group’s President and Chief Executive Officer. “That said, we were still able to post Adjusted EBITDA of nearly $139 million and kept net customer attrition under 1 percent -- both important accomplishments for the Company. We also closed on one small heating oil acquisition during the quarter. Given the challenges of this past winter, we’re very pleased with how the team performed and are working on continued improvement to our underlying operations in the second half.”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Six Months Ended March 31, 2026 Compared to the Six Months Ended March 31, 2025</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5"/>
          <w:szCs w:val="15"/>
          <w:color w:val="auto"/>
        </w:rPr>
        <w:t>For the six months ended March 31, 2026, Star reported a 6.1 percent increase in total revenue to $1.3 billion, reflecting higher product volumes sold and an increase in selling prices in response to higher wholesale product costs. The volume of home heating oil and propane sold during the first six months of fiscal 2026 increased by 12.1 million gallons, or 5.3 percent, to 238.4 million gallons, reflecting colder temperatures and the additional volume provided from acquisitions, more than offsetting net customer attrition and other factors. Temperatures in Star’s geographic areas of operation fiscal year-to-date were 11.0 percent colder than during the prior-year period and 4.1 percent colder than normal, as reported by the National Oceanic and Atmospheric Administration.</w:t>
      </w:r>
    </w:p>
    <w:p>
      <w:pPr>
        <w:spacing w:after="0" w:line="12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5"/>
          <w:szCs w:val="15"/>
          <w:color w:val="auto"/>
        </w:rPr>
        <w:t>For the six months ended March 31, 2026, Star’s net income increased $25.3 million, to $144.1 million, compared to the prior-year period, primarily due to a $27.0 million increase in Adjusted EBITDA and a favorable change in the fair value of derivative instruments of $10.1 million, partially offset by an $11.1 million increase in income tax expense and $0.5 million higher net interest expense.</w:t>
      </w:r>
    </w:p>
    <w:p>
      <w:pPr>
        <w:spacing w:after="0" w:line="1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Year-to-date Adjusted EBITDA increased $27.0 million, to $207.0 million, compared to the six months ended March 31, 2025, primarily due to a $22.1 million increase in Adjusted EBITDA in the base business and a $6.8 million higher Adjusted EBITDA from recent acquisitions, partially offset by a $1.9 million increase in expense related to the Company's weather hedge contracts. The increase in Adjusted EBITDA in the base business was driven by higher home heating oil and propane volumes, an increase in home heating oil and propane per-gallon margins, and higher installation profitability, partially reduced by an increase in operating expenses due to the colder weather. The temperatures experienced during the weather hedge period ending March 31, 2026 were colder than the strike prices and, therefore, the Company recorded an expense under the weather hedge contracts of $5.0 million, versus a $3.1 million expense recorded for the six months ended March 31,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EBITDA and Adjusted EBITDA (Non-GAAP Financial Measures)</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5"/>
          <w:szCs w:val="15"/>
          <w:color w:val="auto"/>
        </w:rPr>
        <w:t>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the Company’s financial statements, such as investors, commercial banks and research analysts, to assess Star’s position with regard to the following:</w:t>
      </w:r>
    </w:p>
    <w:p>
      <w:pPr>
        <w:spacing w:after="0" w:line="1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compliance with certain financial covenants included in our debt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-67945</wp:posOffset>
            </wp:positionV>
            <wp:extent cx="55245" cy="5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5"/>
          <w:szCs w:val="15"/>
          <w:color w:val="auto"/>
        </w:rPr>
        <w:t>financial performance without regard to financing methods, capital structure, income taxes or historical cost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-76200</wp:posOffset>
            </wp:positionV>
            <wp:extent cx="55245"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ind w:left="380" w:right="20"/>
        <w:spacing w:after="0" w:line="236" w:lineRule="auto"/>
        <w:rPr>
          <w:sz w:val="20"/>
          <w:szCs w:val="20"/>
          <w:color w:val="auto"/>
        </w:rPr>
      </w:pPr>
      <w:r>
        <w:rPr>
          <w:rFonts w:ascii="Times New Roman" w:cs="Times New Roman" w:eastAsia="Times New Roman" w:hAnsi="Times New Roman"/>
          <w:sz w:val="15"/>
          <w:szCs w:val="15"/>
          <w:color w:val="auto"/>
        </w:rPr>
        <w:t>operating performance and return on invested capital compared to those of other companies in the retail distribution of refined petroleum products, without regard to financing methods and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-184150</wp:posOffset>
            </wp:positionV>
            <wp:extent cx="5524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ind w:left="380"/>
        <w:spacing w:after="0" w:line="237" w:lineRule="auto"/>
        <w:rPr>
          <w:sz w:val="20"/>
          <w:szCs w:val="20"/>
          <w:color w:val="auto"/>
        </w:rPr>
      </w:pPr>
      <w:r>
        <w:rPr>
          <w:rFonts w:ascii="Times New Roman" w:cs="Times New Roman" w:eastAsia="Times New Roman" w:hAnsi="Times New Roman"/>
          <w:sz w:val="15"/>
          <w:szCs w:val="15"/>
          <w:color w:val="auto"/>
        </w:rPr>
        <w:t>ability to generate cash sufficient to pay interest on our indebtedness and to make distributions to our partners;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-76200</wp:posOffset>
            </wp:positionV>
            <wp:extent cx="5524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5"/>
          <w:szCs w:val="15"/>
          <w:color w:val="auto"/>
        </w:rPr>
        <w:t>the viability of acquisitions and capital expenditure projects and the overall rates of return of alternative investment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-78105</wp:posOffset>
            </wp:positionV>
            <wp:extent cx="5524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method of calculating Adjusted EBITDA may not be consistent with that of other companies, and EBITDA and Adjusted EBITDA both have limitations as analytical tools and so should not be viewed in isolation but in conjunction with measurements that are computed in accordance with GAAP. Some of the limitations of EBITDA and Adjusted EBITDA are as follows:</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EBITDA and Adjusted EBITDA do not reflect cash used for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-67945</wp:posOffset>
            </wp:positionV>
            <wp:extent cx="5524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ind w:left="380"/>
        <w:spacing w:after="0" w:line="236" w:lineRule="auto"/>
        <w:rPr>
          <w:sz w:val="20"/>
          <w:szCs w:val="20"/>
          <w:color w:val="auto"/>
        </w:rPr>
      </w:pPr>
      <w:r>
        <w:rPr>
          <w:rFonts w:ascii="Times New Roman" w:cs="Times New Roman" w:eastAsia="Times New Roman" w:hAnsi="Times New Roman"/>
          <w:sz w:val="15"/>
          <w:szCs w:val="15"/>
          <w:color w:val="auto"/>
        </w:rPr>
        <w:t>although depreciation and amortization are non-cash charges, the assets being depreciated or amortized often will have to be replaced and EBITDA and Adjusted EBITDA do not reflect the cash requirements for such replacements;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-184150</wp:posOffset>
            </wp:positionV>
            <wp:extent cx="5524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ind w:left="380"/>
        <w:spacing w:after="0" w:line="237" w:lineRule="auto"/>
        <w:rPr>
          <w:sz w:val="20"/>
          <w:szCs w:val="20"/>
          <w:color w:val="auto"/>
        </w:rPr>
      </w:pPr>
      <w:r>
        <w:rPr>
          <w:rFonts w:ascii="Times New Roman" w:cs="Times New Roman" w:eastAsia="Times New Roman" w:hAnsi="Times New Roman"/>
          <w:sz w:val="15"/>
          <w:szCs w:val="15"/>
          <w:color w:val="auto"/>
        </w:rPr>
        <w:t>EBITDA and Adjusted EBITDA do not reflect changes in, or cash requirements for,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-76200</wp:posOffset>
            </wp:positionV>
            <wp:extent cx="5524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ind w:left="380" w:right="3120"/>
        <w:spacing w:after="0" w:line="247" w:lineRule="auto"/>
        <w:rPr>
          <w:sz w:val="20"/>
          <w:szCs w:val="20"/>
          <w:color w:val="auto"/>
        </w:rPr>
      </w:pPr>
      <w:r>
        <w:rPr>
          <w:rFonts w:ascii="Times New Roman" w:cs="Times New Roman" w:eastAsia="Times New Roman" w:hAnsi="Times New Roman"/>
          <w:sz w:val="15"/>
          <w:szCs w:val="15"/>
          <w:color w:val="auto"/>
        </w:rPr>
        <w:t>EBITDA and Adjusted EBITDA do not reflect the cash necessary to make payments of interest or principal on indebtedness; and EBITDA and Adjusted EBITDA do not reflect the cash required to pay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-194310</wp:posOffset>
            </wp:positionV>
            <wp:extent cx="5524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45" cy="5524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-85725</wp:posOffset>
            </wp:positionV>
            <wp:extent cx="5524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REMINDER:</w:t>
      </w:r>
    </w:p>
    <w:p>
      <w:pPr>
        <w:spacing w:after="0" w:line="1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5"/>
          <w:szCs w:val="15"/>
          <w:color w:val="auto"/>
        </w:rPr>
        <w:t>Members of Star's management team will host a webcast and conference call at 11:00 a.m. Eastern Time tomorrow, May 7, 2026. The webcast will be accessible on the company’s website, at www.stargrouplp.com, and the telephone number for the conference call is 888-346-3470 (or 412-317-5169 for international callers).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Star Group, L.P.</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5"/>
          <w:szCs w:val="15"/>
          <w:color w:val="auto"/>
        </w:rPr>
        <w:t>Star Group, L.P. is a full service provider specializing in the sale of home heating products and services to residential and commercial customers to heat their homes and buildings. The Company also sells and services heating and air conditioning equipment to its home heating oil and propane customers and, to a lesser extent, provides these offerings to customers outside of its home heating oil and propane customer base. Star also sells diesel, gasoline and home heating oil on a delivery only basis. We believe Star is the nation's largest retail distributor of home heating oil based upon sales volume. Including its propane locations, Star serves customers in the more northern and eastern states within the Northeast and Mid-Atlantic U.S. regions. Additional information is available by obtaining the Company's SEC filings at www.sec.gov and by visiting Star's website at www.stargrouplp.com, where unit holders may request a hard copy of Star’s complete audited financial statements free of charge.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 Looking Information</w:t>
      </w:r>
    </w:p>
    <w:p>
      <w:pPr>
        <w:spacing w:after="0" w:line="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This news release includes "forward-looking statements" which represent the Company’s expectations or beliefs concerning future events that involve risks and uncertainties, including the impact of geopolitical events on wholesale product cost volatility,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financial performance, our ability to obtain new customers and retain existing customers, our ability to make strategic acquisitions, the impact of litigation, natural gas conversions and electrification of heating systems, pandemic and future global health pandemics, recessionary economic conditions, future union relations and the outcome of current and future union negotiations, the impact of current and future governmental regulations, including federal, state and municipal laws restricting greenhouse gases ("GHG") emissions and federal, state and local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w:t>
      </w:r>
    </w:p>
    <w:p>
      <w:pPr>
        <w:sectPr>
          <w:pgSz w:w="11900" w:h="16915" w:orient="portrait"/>
          <w:cols w:equalWidth="0" w:num="1">
            <w:col w:w="11300"/>
          </w:cols>
          <w:pgMar w:left="300" w:top="118" w:right="299" w:bottom="0" w:gutter="0" w:footer="0" w:header="0"/>
        </w:sectPr>
      </w:pPr>
    </w:p>
    <w:bookmarkStart w:id="4" w:name="page5"/>
    <w:bookmarkEnd w:id="4"/>
    <w:p>
      <w:pPr>
        <w:jc w:val="both"/>
        <w:spacing w:after="0" w:line="242" w:lineRule="auto"/>
        <w:rPr>
          <w:sz w:val="20"/>
          <w:szCs w:val="20"/>
          <w:color w:val="auto"/>
        </w:rPr>
      </w:pPr>
      <w:r>
        <w:rPr>
          <w:rFonts w:ascii="Times New Roman" w:cs="Times New Roman" w:eastAsia="Times New Roman" w:hAnsi="Times New Roman"/>
          <w:sz w:val="15"/>
          <w:szCs w:val="15"/>
          <w:color w:val="auto"/>
        </w:rPr>
        <w:t>identify forward-looking statements. Although we believe that the expectations reflected in such forward-looking statements are reasonable, we can give no assurance that such expectations will prove to be correct. Actual results may differ materially from those projected as a result of certain risks and uncertainties. These risks and uncertainties include, but are not limited to, those set forth under the heading "Risk Factors" and "Business Strategy" in our Annual Report on Form 10-K (the "Form 10-K") for the fiscal year ended September 30, 2025. Important factors that could cause actual results to differ materially from the Company’s expectations ("Cautionary Statements") are disclosed in this news release and in the Company’s Form 10-K and our Quarterly Reports on Form 10-Q. All subsequent written and oral forward-looking statements attributable to the Company or persons acting on its behalf are expressly qualified in their entirety by the Cautionary Statements. Unless otherwise required by law, the Company undertakes no obligation to update or revise any forward-looking statements, whether as a result of new information, future events or otherwise after the date of this news release.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04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auto"/>
              </w:rPr>
              <w:t>(financials follow)</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4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b w:val="1"/>
                <w:bCs w:val="1"/>
                <w:color w:val="auto"/>
                <w:w w:val="99"/>
              </w:rPr>
              <w:t>STAR GROUP, L.P. AND SUBSIDIARIES</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04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5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132"/>
        </w:trPr>
        <w:tc>
          <w:tcPr>
            <w:tcW w:w="3580" w:type="dxa"/>
            <w:vAlign w:val="bottom"/>
            <w:gridSpan w:val="2"/>
            <w:vMerge w:val="continue"/>
          </w:tcPr>
          <w:p>
            <w:pPr>
              <w:spacing w:after="0"/>
              <w:rPr>
                <w:sz w:val="11"/>
                <w:szCs w:val="11"/>
                <w:color w:val="auto"/>
              </w:rPr>
            </w:pPr>
          </w:p>
        </w:tc>
        <w:tc>
          <w:tcPr>
            <w:tcW w:w="3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tcPr>
          <w:p>
            <w:pPr>
              <w:jc w:val="center"/>
              <w:ind w:right="405"/>
              <w:spacing w:after="0" w:line="12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tcPr>
          <w:p>
            <w:pPr>
              <w:jc w:val="right"/>
              <w:ind w:right="785"/>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9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66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920" w:type="dxa"/>
            <w:vAlign w:val="bottom"/>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center"/>
              <w:ind w:right="385"/>
              <w:spacing w:after="0" w:line="166" w:lineRule="exact"/>
              <w:rPr>
                <w:sz w:val="20"/>
                <w:szCs w:val="20"/>
                <w:color w:val="auto"/>
              </w:rPr>
            </w:pPr>
            <w:r>
              <w:rPr>
                <w:rFonts w:ascii="Times New Roman" w:cs="Times New Roman" w:eastAsia="Times New Roman" w:hAnsi="Times New Roman"/>
                <w:sz w:val="15"/>
                <w:szCs w:val="15"/>
                <w:b w:val="1"/>
                <w:bCs w:val="1"/>
                <w:color w:val="auto"/>
              </w:rPr>
              <w:t>(unaudited)</w:t>
            </w:r>
          </w:p>
        </w:tc>
        <w:tc>
          <w:tcPr>
            <w:tcW w:w="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4040" w:type="dxa"/>
            <w:vAlign w:val="bottom"/>
            <w:gridSpan w:val="2"/>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12,190</w:t>
            </w:r>
          </w:p>
        </w:tc>
        <w:tc>
          <w:tcPr>
            <w:tcW w:w="120" w:type="dxa"/>
            <w:vAlign w:val="bottom"/>
          </w:tcPr>
          <w:p>
            <w:pPr>
              <w:spacing w:after="0"/>
              <w:rPr>
                <w:sz w:val="16"/>
                <w:szCs w:val="16"/>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24,683</w:t>
            </w:r>
          </w:p>
        </w:tc>
        <w:tc>
          <w:tcPr>
            <w:tcW w:w="0" w:type="dxa"/>
            <w:vAlign w:val="bottom"/>
          </w:tcPr>
          <w:p>
            <w:pPr>
              <w:spacing w:after="0"/>
              <w:rPr>
                <w:sz w:val="1"/>
                <w:szCs w:val="1"/>
                <w:color w:val="auto"/>
              </w:rPr>
            </w:pPr>
          </w:p>
        </w:tc>
      </w:tr>
      <w:tr>
        <w:trPr>
          <w:trHeight w:val="189"/>
        </w:trPr>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Receivables, net of allowance of $7,660 and $7,196, respectively</w:t>
            </w: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262,181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102,119</w:t>
            </w:r>
          </w:p>
        </w:tc>
        <w:tc>
          <w:tcPr>
            <w:tcW w:w="0" w:type="dxa"/>
            <w:vAlign w:val="bottom"/>
          </w:tcPr>
          <w:p>
            <w:pPr>
              <w:spacing w:after="0"/>
              <w:rPr>
                <w:sz w:val="1"/>
                <w:szCs w:val="1"/>
                <w:color w:val="auto"/>
              </w:rPr>
            </w:pPr>
          </w:p>
        </w:tc>
      </w:tr>
      <w:tr>
        <w:trPr>
          <w:trHeight w:val="18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Inventories</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80,894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47,022</w:t>
            </w:r>
          </w:p>
        </w:tc>
        <w:tc>
          <w:tcPr>
            <w:tcW w:w="0" w:type="dxa"/>
            <w:vAlign w:val="bottom"/>
          </w:tcPr>
          <w:p>
            <w:pPr>
              <w:spacing w:after="0"/>
              <w:rPr>
                <w:sz w:val="1"/>
                <w:szCs w:val="1"/>
                <w:color w:val="auto"/>
              </w:rPr>
            </w:pPr>
          </w:p>
        </w:tc>
      </w:tr>
      <w:tr>
        <w:trPr>
          <w:trHeight w:val="18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Fair asset value of derivative instruments</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30,921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790</w:t>
            </w:r>
          </w:p>
        </w:tc>
        <w:tc>
          <w:tcPr>
            <w:tcW w:w="0" w:type="dxa"/>
            <w:vAlign w:val="bottom"/>
          </w:tcPr>
          <w:p>
            <w:pPr>
              <w:spacing w:after="0"/>
              <w:rPr>
                <w:sz w:val="1"/>
                <w:szCs w:val="1"/>
                <w:color w:val="auto"/>
              </w:rPr>
            </w:pPr>
          </w:p>
        </w:tc>
      </w:tr>
      <w:tr>
        <w:trPr>
          <w:trHeight w:val="197"/>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5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55,413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32,667</w:t>
            </w:r>
          </w:p>
        </w:tc>
        <w:tc>
          <w:tcPr>
            <w:tcW w:w="0" w:type="dxa"/>
            <w:vAlign w:val="bottom"/>
          </w:tcPr>
          <w:p>
            <w:pPr>
              <w:spacing w:after="0"/>
              <w:rPr>
                <w:sz w:val="1"/>
                <w:szCs w:val="1"/>
                <w:color w:val="auto"/>
              </w:rPr>
            </w:pPr>
          </w:p>
        </w:tc>
      </w:tr>
      <w:tr>
        <w:trPr>
          <w:trHeight w:val="180"/>
        </w:trPr>
        <w:tc>
          <w:tcPr>
            <w:tcW w:w="358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Total current assets</w:t>
            </w:r>
          </w:p>
        </w:tc>
        <w:tc>
          <w:tcPr>
            <w:tcW w:w="35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441,599</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207,281</w:t>
            </w:r>
          </w:p>
        </w:tc>
        <w:tc>
          <w:tcPr>
            <w:tcW w:w="0" w:type="dxa"/>
            <w:vAlign w:val="bottom"/>
          </w:tcPr>
          <w:p>
            <w:pPr>
              <w:spacing w:after="0"/>
              <w:rPr>
                <w:sz w:val="1"/>
                <w:szCs w:val="1"/>
                <w:color w:val="auto"/>
              </w:rPr>
            </w:pPr>
          </w:p>
        </w:tc>
      </w:tr>
      <w:tr>
        <w:trPr>
          <w:trHeight w:val="169"/>
        </w:trPr>
        <w:tc>
          <w:tcPr>
            <w:tcW w:w="358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Property and equipment, net</w:t>
            </w:r>
          </w:p>
        </w:tc>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ind w:right="25"/>
              <w:spacing w:after="0" w:line="169" w:lineRule="exact"/>
              <w:rPr>
                <w:sz w:val="20"/>
                <w:szCs w:val="20"/>
                <w:color w:val="auto"/>
              </w:rPr>
            </w:pPr>
            <w:r>
              <w:rPr>
                <w:rFonts w:ascii="Times New Roman" w:cs="Times New Roman" w:eastAsia="Times New Roman" w:hAnsi="Times New Roman"/>
                <w:sz w:val="15"/>
                <w:szCs w:val="15"/>
                <w:color w:val="auto"/>
              </w:rPr>
              <w:t>127,550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45"/>
              <w:spacing w:after="0" w:line="169" w:lineRule="exact"/>
              <w:rPr>
                <w:sz w:val="20"/>
                <w:szCs w:val="20"/>
                <w:color w:val="auto"/>
              </w:rPr>
            </w:pPr>
            <w:r>
              <w:rPr>
                <w:rFonts w:ascii="Times New Roman" w:cs="Times New Roman" w:eastAsia="Times New Roman" w:hAnsi="Times New Roman"/>
                <w:sz w:val="15"/>
                <w:szCs w:val="15"/>
                <w:color w:val="auto"/>
              </w:rPr>
              <w:t>128,605</w:t>
            </w:r>
          </w:p>
        </w:tc>
        <w:tc>
          <w:tcPr>
            <w:tcW w:w="0" w:type="dxa"/>
            <w:vAlign w:val="bottom"/>
          </w:tcPr>
          <w:p>
            <w:pPr>
              <w:spacing w:after="0"/>
              <w:rPr>
                <w:sz w:val="1"/>
                <w:szCs w:val="1"/>
                <w:color w:val="auto"/>
              </w:rPr>
            </w:pPr>
          </w:p>
        </w:tc>
      </w:tr>
      <w:tr>
        <w:trPr>
          <w:trHeight w:val="189"/>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93,063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93,264</w:t>
            </w:r>
          </w:p>
        </w:tc>
        <w:tc>
          <w:tcPr>
            <w:tcW w:w="0" w:type="dxa"/>
            <w:vAlign w:val="bottom"/>
          </w:tcPr>
          <w:p>
            <w:pPr>
              <w:spacing w:after="0"/>
              <w:rPr>
                <w:sz w:val="1"/>
                <w:szCs w:val="1"/>
                <w:color w:val="auto"/>
              </w:rPr>
            </w:pPr>
          </w:p>
        </w:tc>
      </w:tr>
      <w:tr>
        <w:trPr>
          <w:trHeight w:val="189"/>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Goodwill</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293,955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293,350</w:t>
            </w:r>
          </w:p>
        </w:tc>
        <w:tc>
          <w:tcPr>
            <w:tcW w:w="0" w:type="dxa"/>
            <w:vAlign w:val="bottom"/>
          </w:tcPr>
          <w:p>
            <w:pPr>
              <w:spacing w:after="0"/>
              <w:rPr>
                <w:sz w:val="1"/>
                <w:szCs w:val="1"/>
                <w:color w:val="auto"/>
              </w:rPr>
            </w:pPr>
          </w:p>
        </w:tc>
      </w:tr>
      <w:tr>
        <w:trPr>
          <w:trHeight w:val="189"/>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Intangibles, net</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116,653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124,892</w:t>
            </w:r>
          </w:p>
        </w:tc>
        <w:tc>
          <w:tcPr>
            <w:tcW w:w="0" w:type="dxa"/>
            <w:vAlign w:val="bottom"/>
          </w:tcPr>
          <w:p>
            <w:pPr>
              <w:spacing w:after="0"/>
              <w:rPr>
                <w:sz w:val="1"/>
                <w:szCs w:val="1"/>
                <w:color w:val="auto"/>
              </w:rPr>
            </w:pPr>
          </w:p>
        </w:tc>
      </w:tr>
      <w:tr>
        <w:trPr>
          <w:trHeight w:val="189"/>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250</w:t>
            </w:r>
          </w:p>
        </w:tc>
        <w:tc>
          <w:tcPr>
            <w:tcW w:w="0" w:type="dxa"/>
            <w:vAlign w:val="bottom"/>
          </w:tcPr>
          <w:p>
            <w:pPr>
              <w:spacing w:after="0"/>
              <w:rPr>
                <w:sz w:val="1"/>
                <w:szCs w:val="1"/>
                <w:color w:val="auto"/>
              </w:rPr>
            </w:pPr>
          </w:p>
        </w:tc>
      </w:tr>
      <w:tr>
        <w:trPr>
          <w:trHeight w:val="189"/>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Captive insurance collateral</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79,673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78,189</w:t>
            </w:r>
          </w:p>
        </w:tc>
        <w:tc>
          <w:tcPr>
            <w:tcW w:w="0" w:type="dxa"/>
            <w:vAlign w:val="bottom"/>
          </w:tcPr>
          <w:p>
            <w:pPr>
              <w:spacing w:after="0"/>
              <w:rPr>
                <w:sz w:val="1"/>
                <w:szCs w:val="1"/>
                <w:color w:val="auto"/>
              </w:rPr>
            </w:pPr>
          </w:p>
        </w:tc>
      </w:tr>
      <w:tr>
        <w:trPr>
          <w:trHeight w:val="197"/>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Deferred charges and other assets, net</w:t>
            </w:r>
          </w:p>
        </w:tc>
        <w:tc>
          <w:tcPr>
            <w:tcW w:w="35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11,483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11,500</w:t>
            </w:r>
          </w:p>
        </w:tc>
        <w:tc>
          <w:tcPr>
            <w:tcW w:w="0" w:type="dxa"/>
            <w:vAlign w:val="bottom"/>
          </w:tcPr>
          <w:p>
            <w:pPr>
              <w:spacing w:after="0"/>
              <w:rPr>
                <w:sz w:val="1"/>
                <w:szCs w:val="1"/>
                <w:color w:val="auto"/>
              </w:rPr>
            </w:pPr>
          </w:p>
        </w:tc>
      </w:tr>
      <w:tr>
        <w:trPr>
          <w:trHeight w:val="180"/>
        </w:trPr>
        <w:tc>
          <w:tcPr>
            <w:tcW w:w="358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Total assets</w:t>
            </w:r>
          </w:p>
        </w:tc>
        <w:tc>
          <w:tcPr>
            <w:tcW w:w="3560" w:type="dxa"/>
            <w:vAlign w:val="bottom"/>
          </w:tcPr>
          <w:p>
            <w:pPr>
              <w:spacing w:after="0"/>
              <w:rPr>
                <w:sz w:val="15"/>
                <w:szCs w:val="15"/>
                <w:color w:val="auto"/>
              </w:rPr>
            </w:pP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1,164,226</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937,331</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PARTNERS' CAPITAL</w:t>
            </w:r>
          </w:p>
        </w:tc>
        <w:tc>
          <w:tcPr>
            <w:tcW w:w="3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80" w:type="dxa"/>
            <w:vAlign w:val="bottom"/>
            <w:gridSpan w:val="2"/>
            <w:vMerge w:val="continue"/>
          </w:tcPr>
          <w:p>
            <w:pPr>
              <w:spacing w:after="0"/>
              <w:rPr>
                <w:sz w:val="13"/>
                <w:szCs w:val="13"/>
                <w:color w:val="auto"/>
              </w:rPr>
            </w:pPr>
          </w:p>
        </w:tc>
        <w:tc>
          <w:tcPr>
            <w:tcW w:w="3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Accounts payable</w:t>
            </w:r>
          </w:p>
        </w:tc>
        <w:tc>
          <w:tcPr>
            <w:tcW w:w="4040" w:type="dxa"/>
            <w:vAlign w:val="bottom"/>
            <w:gridSpan w:val="2"/>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44,191</w:t>
            </w:r>
          </w:p>
        </w:tc>
        <w:tc>
          <w:tcPr>
            <w:tcW w:w="120" w:type="dxa"/>
            <w:vAlign w:val="bottom"/>
          </w:tcPr>
          <w:p>
            <w:pPr>
              <w:spacing w:after="0"/>
              <w:rPr>
                <w:sz w:val="16"/>
                <w:szCs w:val="16"/>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33,667</w:t>
            </w:r>
          </w:p>
        </w:tc>
        <w:tc>
          <w:tcPr>
            <w:tcW w:w="0" w:type="dxa"/>
            <w:vAlign w:val="bottom"/>
          </w:tcPr>
          <w:p>
            <w:pPr>
              <w:spacing w:after="0"/>
              <w:rPr>
                <w:sz w:val="1"/>
                <w:szCs w:val="1"/>
                <w:color w:val="auto"/>
              </w:rPr>
            </w:pPr>
          </w:p>
        </w:tc>
      </w:tr>
      <w:tr>
        <w:trPr>
          <w:trHeight w:val="18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Revolving credit facility borrowings</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87,436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Fair liability value of derivative instruments</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gridSpan w:val="2"/>
          </w:tcPr>
          <w:p>
            <w:pPr>
              <w:ind w:left="12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1,398</w:t>
            </w:r>
          </w:p>
        </w:tc>
        <w:tc>
          <w:tcPr>
            <w:tcW w:w="0" w:type="dxa"/>
            <w:vAlign w:val="bottom"/>
          </w:tcPr>
          <w:p>
            <w:pPr>
              <w:spacing w:after="0"/>
              <w:rPr>
                <w:sz w:val="1"/>
                <w:szCs w:val="1"/>
                <w:color w:val="auto"/>
              </w:rPr>
            </w:pPr>
          </w:p>
        </w:tc>
      </w:tr>
      <w:tr>
        <w:trPr>
          <w:trHeight w:val="18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21,000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21,000</w:t>
            </w:r>
          </w:p>
        </w:tc>
        <w:tc>
          <w:tcPr>
            <w:tcW w:w="0" w:type="dxa"/>
            <w:vAlign w:val="bottom"/>
          </w:tcPr>
          <w:p>
            <w:pPr>
              <w:spacing w:after="0"/>
              <w:rPr>
                <w:sz w:val="1"/>
                <w:szCs w:val="1"/>
                <w:color w:val="auto"/>
              </w:rPr>
            </w:pPr>
          </w:p>
        </w:tc>
      </w:tr>
      <w:tr>
        <w:trPr>
          <w:trHeight w:val="18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20,383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19,934</w:t>
            </w:r>
          </w:p>
        </w:tc>
        <w:tc>
          <w:tcPr>
            <w:tcW w:w="0" w:type="dxa"/>
            <w:vAlign w:val="bottom"/>
          </w:tcPr>
          <w:p>
            <w:pPr>
              <w:spacing w:after="0"/>
              <w:rPr>
                <w:sz w:val="1"/>
                <w:szCs w:val="1"/>
                <w:color w:val="auto"/>
              </w:rPr>
            </w:pPr>
          </w:p>
        </w:tc>
      </w:tr>
      <w:tr>
        <w:trPr>
          <w:trHeight w:val="18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168,358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119,497</w:t>
            </w:r>
          </w:p>
        </w:tc>
        <w:tc>
          <w:tcPr>
            <w:tcW w:w="0" w:type="dxa"/>
            <w:vAlign w:val="bottom"/>
          </w:tcPr>
          <w:p>
            <w:pPr>
              <w:spacing w:after="0"/>
              <w:rPr>
                <w:sz w:val="1"/>
                <w:szCs w:val="1"/>
                <w:color w:val="auto"/>
              </w:rPr>
            </w:pPr>
          </w:p>
        </w:tc>
      </w:tr>
      <w:tr>
        <w:trPr>
          <w:trHeight w:val="18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Unearned service contract revenue</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76,086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66,927</w:t>
            </w:r>
          </w:p>
        </w:tc>
        <w:tc>
          <w:tcPr>
            <w:tcW w:w="0" w:type="dxa"/>
            <w:vAlign w:val="bottom"/>
          </w:tcPr>
          <w:p>
            <w:pPr>
              <w:spacing w:after="0"/>
              <w:rPr>
                <w:sz w:val="1"/>
                <w:szCs w:val="1"/>
                <w:color w:val="auto"/>
              </w:rPr>
            </w:pPr>
          </w:p>
        </w:tc>
      </w:tr>
      <w:tr>
        <w:trPr>
          <w:trHeight w:val="197"/>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Customer credit balances</w:t>
            </w:r>
          </w:p>
        </w:tc>
        <w:tc>
          <w:tcPr>
            <w:tcW w:w="35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29,674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86,810</w:t>
            </w:r>
          </w:p>
        </w:tc>
        <w:tc>
          <w:tcPr>
            <w:tcW w:w="0" w:type="dxa"/>
            <w:vAlign w:val="bottom"/>
          </w:tcPr>
          <w:p>
            <w:pPr>
              <w:spacing w:after="0"/>
              <w:rPr>
                <w:sz w:val="1"/>
                <w:szCs w:val="1"/>
                <w:color w:val="auto"/>
              </w:rPr>
            </w:pPr>
          </w:p>
        </w:tc>
      </w:tr>
      <w:tr>
        <w:trPr>
          <w:trHeight w:val="180"/>
        </w:trPr>
        <w:tc>
          <w:tcPr>
            <w:tcW w:w="358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5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447,128</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349,233</w:t>
            </w:r>
          </w:p>
        </w:tc>
        <w:tc>
          <w:tcPr>
            <w:tcW w:w="0" w:type="dxa"/>
            <w:vAlign w:val="bottom"/>
          </w:tcPr>
          <w:p>
            <w:pPr>
              <w:spacing w:after="0"/>
              <w:rPr>
                <w:sz w:val="1"/>
                <w:szCs w:val="1"/>
                <w:color w:val="auto"/>
              </w:rPr>
            </w:pPr>
          </w:p>
        </w:tc>
      </w:tr>
      <w:tr>
        <w:trPr>
          <w:trHeight w:val="169"/>
        </w:trPr>
        <w:tc>
          <w:tcPr>
            <w:tcW w:w="358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Long-term debt</w:t>
            </w:r>
          </w:p>
        </w:tc>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ind w:right="25"/>
              <w:spacing w:after="0" w:line="169" w:lineRule="exact"/>
              <w:rPr>
                <w:sz w:val="20"/>
                <w:szCs w:val="20"/>
                <w:color w:val="auto"/>
              </w:rPr>
            </w:pPr>
            <w:r>
              <w:rPr>
                <w:rFonts w:ascii="Times New Roman" w:cs="Times New Roman" w:eastAsia="Times New Roman" w:hAnsi="Times New Roman"/>
                <w:sz w:val="15"/>
                <w:szCs w:val="15"/>
                <w:color w:val="auto"/>
              </w:rPr>
              <w:t>156,753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45"/>
              <w:spacing w:after="0" w:line="169" w:lineRule="exact"/>
              <w:rPr>
                <w:sz w:val="20"/>
                <w:szCs w:val="20"/>
                <w:color w:val="auto"/>
              </w:rPr>
            </w:pPr>
            <w:r>
              <w:rPr>
                <w:rFonts w:ascii="Times New Roman" w:cs="Times New Roman" w:eastAsia="Times New Roman" w:hAnsi="Times New Roman"/>
                <w:sz w:val="15"/>
                <w:szCs w:val="15"/>
                <w:color w:val="auto"/>
              </w:rPr>
              <w:t>167,118</w:t>
            </w:r>
          </w:p>
        </w:tc>
        <w:tc>
          <w:tcPr>
            <w:tcW w:w="0" w:type="dxa"/>
            <w:vAlign w:val="bottom"/>
          </w:tcPr>
          <w:p>
            <w:pPr>
              <w:spacing w:after="0"/>
              <w:rPr>
                <w:sz w:val="1"/>
                <w:szCs w:val="1"/>
                <w:color w:val="auto"/>
              </w:rPr>
            </w:pPr>
          </w:p>
        </w:tc>
      </w:tr>
      <w:tr>
        <w:trPr>
          <w:trHeight w:val="189"/>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Long-term operating lease liabilities</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76,074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77,206</w:t>
            </w:r>
          </w:p>
        </w:tc>
        <w:tc>
          <w:tcPr>
            <w:tcW w:w="0" w:type="dxa"/>
            <w:vAlign w:val="bottom"/>
          </w:tcPr>
          <w:p>
            <w:pPr>
              <w:spacing w:after="0"/>
              <w:rPr>
                <w:sz w:val="1"/>
                <w:szCs w:val="1"/>
                <w:color w:val="auto"/>
              </w:rPr>
            </w:pPr>
          </w:p>
        </w:tc>
      </w:tr>
      <w:tr>
        <w:trPr>
          <w:trHeight w:val="189"/>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45,294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30,823</w:t>
            </w:r>
          </w:p>
        </w:tc>
        <w:tc>
          <w:tcPr>
            <w:tcW w:w="0" w:type="dxa"/>
            <w:vAlign w:val="bottom"/>
          </w:tcPr>
          <w:p>
            <w:pPr>
              <w:spacing w:after="0"/>
              <w:rPr>
                <w:sz w:val="1"/>
                <w:szCs w:val="1"/>
                <w:color w:val="auto"/>
              </w:rPr>
            </w:pPr>
          </w:p>
        </w:tc>
      </w:tr>
      <w:tr>
        <w:trPr>
          <w:trHeight w:val="185"/>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15,510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16,171</w:t>
            </w:r>
          </w:p>
        </w:tc>
        <w:tc>
          <w:tcPr>
            <w:tcW w:w="0" w:type="dxa"/>
            <w:vAlign w:val="bottom"/>
          </w:tcPr>
          <w:p>
            <w:pPr>
              <w:spacing w:after="0"/>
              <w:rPr>
                <w:sz w:val="1"/>
                <w:szCs w:val="1"/>
                <w:color w:val="auto"/>
              </w:rPr>
            </w:pPr>
          </w:p>
        </w:tc>
      </w:tr>
      <w:tr>
        <w:trPr>
          <w:trHeight w:val="193"/>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Partners' capital</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Common unitholders</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439,963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314,733</w:t>
            </w:r>
          </w:p>
        </w:tc>
        <w:tc>
          <w:tcPr>
            <w:tcW w:w="0" w:type="dxa"/>
            <w:vAlign w:val="bottom"/>
          </w:tcPr>
          <w:p>
            <w:pPr>
              <w:spacing w:after="0"/>
              <w:rPr>
                <w:sz w:val="1"/>
                <w:szCs w:val="1"/>
                <w:color w:val="auto"/>
              </w:rPr>
            </w:pPr>
          </w:p>
        </w:tc>
      </w:tr>
      <w:tr>
        <w:trPr>
          <w:trHeight w:val="18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General partner</w:t>
            </w:r>
          </w:p>
        </w:tc>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(6,605)</w:t>
            </w:r>
          </w:p>
        </w:tc>
        <w:tc>
          <w:tcPr>
            <w:tcW w:w="0" w:type="dxa"/>
            <w:vAlign w:val="bottom"/>
          </w:tcPr>
          <w:p>
            <w:pPr>
              <w:spacing w:after="0"/>
              <w:rPr>
                <w:sz w:val="1"/>
                <w:szCs w:val="1"/>
                <w:color w:val="auto"/>
              </w:rPr>
            </w:pPr>
          </w:p>
        </w:tc>
      </w:tr>
      <w:tr>
        <w:trPr>
          <w:trHeight w:val="197"/>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Accumulated other comprehensive loss, net of taxes</w:t>
            </w:r>
          </w:p>
        </w:tc>
        <w:tc>
          <w:tcPr>
            <w:tcW w:w="35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(10,496)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(11,348)</w:t>
            </w:r>
          </w:p>
        </w:tc>
        <w:tc>
          <w:tcPr>
            <w:tcW w:w="0" w:type="dxa"/>
            <w:vAlign w:val="bottom"/>
          </w:tcPr>
          <w:p>
            <w:pPr>
              <w:spacing w:after="0"/>
              <w:rPr>
                <w:sz w:val="1"/>
                <w:szCs w:val="1"/>
                <w:color w:val="auto"/>
              </w:rPr>
            </w:pPr>
          </w:p>
        </w:tc>
      </w:tr>
      <w:tr>
        <w:trPr>
          <w:trHeight w:val="180"/>
        </w:trPr>
        <w:tc>
          <w:tcPr>
            <w:tcW w:w="358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Total partners' capital</w:t>
            </w:r>
          </w:p>
        </w:tc>
        <w:tc>
          <w:tcPr>
            <w:tcW w:w="35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423,467</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296,780</w:t>
            </w:r>
          </w:p>
        </w:tc>
        <w:tc>
          <w:tcPr>
            <w:tcW w:w="0" w:type="dxa"/>
            <w:vAlign w:val="bottom"/>
          </w:tcPr>
          <w:p>
            <w:pPr>
              <w:spacing w:after="0"/>
              <w:rPr>
                <w:sz w:val="1"/>
                <w:szCs w:val="1"/>
                <w:color w:val="auto"/>
              </w:rPr>
            </w:pPr>
          </w:p>
        </w:tc>
      </w:tr>
      <w:tr>
        <w:trPr>
          <w:trHeight w:val="178"/>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Total liabilities and partners' capital</w:t>
            </w:r>
          </w:p>
        </w:tc>
        <w:tc>
          <w:tcPr>
            <w:tcW w:w="3560" w:type="dxa"/>
            <w:vAlign w:val="bottom"/>
          </w:tcPr>
          <w:p>
            <w:pPr>
              <w:spacing w:after="0"/>
              <w:rPr>
                <w:sz w:val="15"/>
                <w:szCs w:val="15"/>
                <w:color w:val="auto"/>
              </w:rPr>
            </w:pP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1,164,226</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937,331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STAR GROUP, L.P.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(in thousands, except per unit data - unaudited)</w:t>
            </w:r>
          </w:p>
        </w:tc>
        <w:tc>
          <w:tcPr>
            <w:tcW w:w="156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ind w:left="24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380" w:type="dxa"/>
            <w:vAlign w:val="bottom"/>
          </w:tcPr>
          <w:p>
            <w:pPr>
              <w:spacing w:after="0"/>
              <w:rPr>
                <w:sz w:val="17"/>
                <w:szCs w:val="17"/>
                <w:color w:val="auto"/>
              </w:rPr>
            </w:pPr>
          </w:p>
        </w:tc>
        <w:tc>
          <w:tcPr>
            <w:tcW w:w="2880" w:type="dxa"/>
            <w:vAlign w:val="bottom"/>
            <w:gridSpan w:val="4"/>
          </w:tcPr>
          <w:p>
            <w:pPr>
              <w:jc w:val="right"/>
              <w:ind w:right="625"/>
              <w:spacing w:after="0"/>
              <w:rPr>
                <w:sz w:val="20"/>
                <w:szCs w:val="20"/>
                <w:color w:val="auto"/>
              </w:rPr>
            </w:pPr>
            <w:r>
              <w:rPr>
                <w:rFonts w:ascii="Times New Roman" w:cs="Times New Roman" w:eastAsia="Times New Roman" w:hAnsi="Times New Roman"/>
                <w:sz w:val="15"/>
                <w:szCs w:val="15"/>
                <w:b w:val="1"/>
                <w:bCs w:val="1"/>
                <w:color w:val="auto"/>
              </w:rPr>
              <w:t>Six Months Ended March 31,</w:t>
            </w:r>
          </w:p>
        </w:tc>
        <w:tc>
          <w:tcPr>
            <w:tcW w:w="0" w:type="dxa"/>
            <w:vAlign w:val="bottom"/>
          </w:tcPr>
          <w:p>
            <w:pPr>
              <w:spacing w:after="0"/>
              <w:rPr>
                <w:sz w:val="1"/>
                <w:szCs w:val="1"/>
                <w:color w:val="auto"/>
              </w:rPr>
            </w:pPr>
          </w:p>
        </w:tc>
      </w:tr>
      <w:tr>
        <w:trPr>
          <w:trHeight w:val="137"/>
        </w:trPr>
        <w:tc>
          <w:tcPr>
            <w:tcW w:w="3080" w:type="dxa"/>
            <w:vAlign w:val="bottom"/>
            <w:tcBorders>
              <w:bottom w:val="single" w:sz="8" w:color="auto"/>
            </w:tcBorders>
            <w:gridSpan w:val="2"/>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565"/>
              <w:spacing w:after="0" w:line="12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565"/>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565"/>
              <w:spacing w:after="0" w:line="12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565"/>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Sales: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6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Product</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689,788</w:t>
            </w:r>
          </w:p>
        </w:tc>
        <w:tc>
          <w:tcPr>
            <w:tcW w:w="120" w:type="dxa"/>
            <w:vAlign w:val="bottom"/>
          </w:tcPr>
          <w:p>
            <w:pPr>
              <w:spacing w:after="0"/>
              <w:rPr>
                <w:sz w:val="16"/>
                <w:szCs w:val="16"/>
                <w:color w:val="auto"/>
              </w:rPr>
            </w:pP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665,105</w:t>
            </w:r>
          </w:p>
        </w:tc>
        <w:tc>
          <w:tcPr>
            <w:tcW w:w="120" w:type="dxa"/>
            <w:vAlign w:val="bottom"/>
          </w:tcPr>
          <w:p>
            <w:pPr>
              <w:spacing w:after="0"/>
              <w:rPr>
                <w:sz w:val="16"/>
                <w:szCs w:val="16"/>
                <w:color w:val="auto"/>
              </w:rPr>
            </w:pP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1,137,771</w:t>
            </w:r>
          </w:p>
        </w:tc>
        <w:tc>
          <w:tcPr>
            <w:tcW w:w="12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1,064,564</w:t>
            </w:r>
          </w:p>
        </w:tc>
        <w:tc>
          <w:tcPr>
            <w:tcW w:w="0" w:type="dxa"/>
            <w:vAlign w:val="bottom"/>
          </w:tcPr>
          <w:p>
            <w:pPr>
              <w:spacing w:after="0"/>
              <w:rPr>
                <w:sz w:val="1"/>
                <w:szCs w:val="1"/>
                <w:color w:val="auto"/>
              </w:rPr>
            </w:pPr>
          </w:p>
        </w:tc>
      </w:tr>
      <w:tr>
        <w:trPr>
          <w:trHeight w:val="197"/>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Installations and services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76,927</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77,940</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168,200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166,544</w:t>
            </w:r>
          </w:p>
        </w:tc>
        <w:tc>
          <w:tcPr>
            <w:tcW w:w="0" w:type="dxa"/>
            <w:vAlign w:val="bottom"/>
          </w:tcPr>
          <w:p>
            <w:pPr>
              <w:spacing w:after="0"/>
              <w:rPr>
                <w:sz w:val="1"/>
                <w:szCs w:val="1"/>
                <w:color w:val="auto"/>
              </w:rPr>
            </w:pPr>
          </w:p>
        </w:tc>
      </w:tr>
      <w:tr>
        <w:trPr>
          <w:trHeight w:val="171"/>
        </w:trPr>
        <w:tc>
          <w:tcPr>
            <w:tcW w:w="4640" w:type="dxa"/>
            <w:vAlign w:val="bottom"/>
            <w:gridSpan w:val="3"/>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sales</w:t>
            </w:r>
          </w:p>
        </w:tc>
        <w:tc>
          <w:tcPr>
            <w:tcW w:w="360" w:type="dxa"/>
            <w:vAlign w:val="bottom"/>
          </w:tcPr>
          <w:p>
            <w:pPr>
              <w:spacing w:after="0"/>
              <w:rPr>
                <w:sz w:val="14"/>
                <w:szCs w:val="14"/>
                <w:color w:val="auto"/>
              </w:rPr>
            </w:pPr>
          </w:p>
        </w:tc>
        <w:tc>
          <w:tcPr>
            <w:tcW w:w="122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766,715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743,045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1,305,971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1,231,108</w:t>
            </w:r>
          </w:p>
        </w:tc>
        <w:tc>
          <w:tcPr>
            <w:tcW w:w="0" w:type="dxa"/>
            <w:vAlign w:val="bottom"/>
          </w:tcPr>
          <w:p>
            <w:pPr>
              <w:spacing w:after="0"/>
              <w:rPr>
                <w:sz w:val="1"/>
                <w:szCs w:val="1"/>
                <w:color w:val="auto"/>
              </w:rPr>
            </w:pPr>
          </w:p>
        </w:tc>
      </w:tr>
      <w:tr>
        <w:trPr>
          <w:trHeight w:val="189"/>
        </w:trPr>
        <w:tc>
          <w:tcPr>
            <w:tcW w:w="4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Cost and expenses: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Cost of product</w:t>
            </w:r>
          </w:p>
        </w:tc>
        <w:tc>
          <w:tcPr>
            <w:tcW w:w="360" w:type="dxa"/>
            <w:vAlign w:val="bottom"/>
          </w:tcPr>
          <w:p>
            <w:pPr>
              <w:spacing w:after="0"/>
              <w:rPr>
                <w:sz w:val="16"/>
                <w:szCs w:val="16"/>
                <w:color w:val="auto"/>
              </w:rPr>
            </w:pPr>
          </w:p>
        </w:tc>
        <w:tc>
          <w:tcPr>
            <w:tcW w:w="12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412,437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406,950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680,975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655,649</w:t>
            </w:r>
          </w:p>
        </w:tc>
        <w:tc>
          <w:tcPr>
            <w:tcW w:w="0" w:type="dxa"/>
            <w:vAlign w:val="bottom"/>
          </w:tcPr>
          <w:p>
            <w:pPr>
              <w:spacing w:after="0"/>
              <w:rPr>
                <w:sz w:val="1"/>
                <w:szCs w:val="1"/>
                <w:color w:val="auto"/>
              </w:rPr>
            </w:pPr>
          </w:p>
        </w:tc>
      </w:tr>
      <w:tr>
        <w:trPr>
          <w:trHeight w:val="189"/>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Cost of installations and services</w:t>
            </w:r>
          </w:p>
        </w:tc>
        <w:tc>
          <w:tcPr>
            <w:tcW w:w="360" w:type="dxa"/>
            <w:vAlign w:val="bottom"/>
          </w:tcPr>
          <w:p>
            <w:pPr>
              <w:spacing w:after="0"/>
              <w:rPr>
                <w:sz w:val="16"/>
                <w:szCs w:val="16"/>
                <w:color w:val="auto"/>
              </w:rPr>
            </w:pPr>
          </w:p>
        </w:tc>
        <w:tc>
          <w:tcPr>
            <w:tcW w:w="12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78,409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76,210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164,087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157,875</w:t>
            </w:r>
          </w:p>
        </w:tc>
        <w:tc>
          <w:tcPr>
            <w:tcW w:w="0" w:type="dxa"/>
            <w:vAlign w:val="bottom"/>
          </w:tcPr>
          <w:p>
            <w:pPr>
              <w:spacing w:after="0"/>
              <w:rPr>
                <w:sz w:val="1"/>
                <w:szCs w:val="1"/>
                <w:color w:val="auto"/>
              </w:rPr>
            </w:pPr>
          </w:p>
        </w:tc>
      </w:tr>
      <w:tr>
        <w:trPr>
          <w:trHeight w:val="189"/>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(Increase) decrease in the fair value of derivative instruments</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(26,812)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(21,417)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(11,359)</w:t>
            </w:r>
          </w:p>
        </w:tc>
        <w:tc>
          <w:tcPr>
            <w:tcW w:w="0" w:type="dxa"/>
            <w:vAlign w:val="bottom"/>
          </w:tcPr>
          <w:p>
            <w:pPr>
              <w:spacing w:after="0"/>
              <w:rPr>
                <w:sz w:val="1"/>
                <w:szCs w:val="1"/>
                <w:color w:val="auto"/>
              </w:rPr>
            </w:pPr>
          </w:p>
        </w:tc>
      </w:tr>
      <w:tr>
        <w:trPr>
          <w:trHeight w:val="189"/>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Delivery and branch expenses</w:t>
            </w:r>
          </w:p>
        </w:tc>
        <w:tc>
          <w:tcPr>
            <w:tcW w:w="360" w:type="dxa"/>
            <w:vAlign w:val="bottom"/>
          </w:tcPr>
          <w:p>
            <w:pPr>
              <w:spacing w:after="0"/>
              <w:rPr>
                <w:sz w:val="16"/>
                <w:szCs w:val="16"/>
                <w:color w:val="auto"/>
              </w:rPr>
            </w:pPr>
          </w:p>
        </w:tc>
        <w:tc>
          <w:tcPr>
            <w:tcW w:w="12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129,774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124,927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239,711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224,254</w:t>
            </w:r>
          </w:p>
        </w:tc>
        <w:tc>
          <w:tcPr>
            <w:tcW w:w="0" w:type="dxa"/>
            <w:vAlign w:val="bottom"/>
          </w:tcPr>
          <w:p>
            <w:pPr>
              <w:spacing w:after="0"/>
              <w:rPr>
                <w:sz w:val="1"/>
                <w:szCs w:val="1"/>
                <w:color w:val="auto"/>
              </w:rPr>
            </w:pPr>
          </w:p>
        </w:tc>
      </w:tr>
      <w:tr>
        <w:trPr>
          <w:trHeight w:val="189"/>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Depreciation and amortization expenses</w:t>
            </w:r>
          </w:p>
        </w:tc>
        <w:tc>
          <w:tcPr>
            <w:tcW w:w="360" w:type="dxa"/>
            <w:vAlign w:val="bottom"/>
          </w:tcPr>
          <w:p>
            <w:pPr>
              <w:spacing w:after="0"/>
              <w:rPr>
                <w:sz w:val="16"/>
                <w:szCs w:val="16"/>
                <w:color w:val="auto"/>
              </w:rPr>
            </w:pPr>
          </w:p>
        </w:tc>
        <w:tc>
          <w:tcPr>
            <w:tcW w:w="12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8,285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8,912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17,040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16,815</w:t>
            </w:r>
          </w:p>
        </w:tc>
        <w:tc>
          <w:tcPr>
            <w:tcW w:w="0" w:type="dxa"/>
            <w:vAlign w:val="bottom"/>
          </w:tcPr>
          <w:p>
            <w:pPr>
              <w:spacing w:after="0"/>
              <w:rPr>
                <w:sz w:val="1"/>
                <w:szCs w:val="1"/>
                <w:color w:val="auto"/>
              </w:rPr>
            </w:pPr>
          </w:p>
        </w:tc>
      </w:tr>
      <w:tr>
        <w:trPr>
          <w:trHeight w:val="189"/>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360" w:type="dxa"/>
            <w:vAlign w:val="bottom"/>
          </w:tcPr>
          <w:p>
            <w:pPr>
              <w:spacing w:after="0"/>
              <w:rPr>
                <w:sz w:val="16"/>
                <w:szCs w:val="16"/>
                <w:color w:val="auto"/>
              </w:rPr>
            </w:pPr>
          </w:p>
        </w:tc>
        <w:tc>
          <w:tcPr>
            <w:tcW w:w="12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8,716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8,187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16,309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15,370</w:t>
            </w:r>
          </w:p>
        </w:tc>
        <w:tc>
          <w:tcPr>
            <w:tcW w:w="0" w:type="dxa"/>
            <w:vAlign w:val="bottom"/>
          </w:tcPr>
          <w:p>
            <w:pPr>
              <w:spacing w:after="0"/>
              <w:rPr>
                <w:sz w:val="1"/>
                <w:szCs w:val="1"/>
                <w:color w:val="auto"/>
              </w:rPr>
            </w:pPr>
          </w:p>
        </w:tc>
      </w:tr>
      <w:tr>
        <w:trPr>
          <w:trHeight w:val="197"/>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Finance charge income</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(2,087)</w:t>
            </w:r>
          </w:p>
        </w:tc>
        <w:tc>
          <w:tcPr>
            <w:tcW w:w="0" w:type="dxa"/>
            <w:vAlign w:val="bottom"/>
          </w:tcPr>
          <w:p>
            <w:pPr>
              <w:spacing w:after="0"/>
              <w:rPr>
                <w:sz w:val="1"/>
                <w:szCs w:val="1"/>
                <w:color w:val="auto"/>
              </w:rPr>
            </w:pPr>
          </w:p>
        </w:tc>
      </w:tr>
      <w:tr>
        <w:trPr>
          <w:trHeight w:val="171"/>
        </w:trPr>
        <w:tc>
          <w:tcPr>
            <w:tcW w:w="4640" w:type="dxa"/>
            <w:vAlign w:val="bottom"/>
            <w:gridSpan w:val="3"/>
          </w:tcPr>
          <w:p>
            <w:pPr>
              <w:ind w:left="280"/>
              <w:spacing w:after="0" w:line="171" w:lineRule="exact"/>
              <w:rPr>
                <w:sz w:val="20"/>
                <w:szCs w:val="20"/>
                <w:color w:val="auto"/>
              </w:rPr>
            </w:pPr>
            <w:r>
              <w:rPr>
                <w:rFonts w:ascii="Times New Roman" w:cs="Times New Roman" w:eastAsia="Times New Roman" w:hAnsi="Times New Roman"/>
                <w:sz w:val="15"/>
                <w:szCs w:val="15"/>
                <w:color w:val="auto"/>
              </w:rPr>
              <w:t>Operating income</w:t>
            </w:r>
          </w:p>
        </w:tc>
        <w:tc>
          <w:tcPr>
            <w:tcW w:w="360" w:type="dxa"/>
            <w:vAlign w:val="bottom"/>
          </w:tcPr>
          <w:p>
            <w:pPr>
              <w:spacing w:after="0"/>
              <w:rPr>
                <w:sz w:val="14"/>
                <w:szCs w:val="14"/>
                <w:color w:val="auto"/>
              </w:rPr>
            </w:pPr>
          </w:p>
        </w:tc>
        <w:tc>
          <w:tcPr>
            <w:tcW w:w="122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157,181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125,372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211,419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174,591</w:t>
            </w:r>
          </w:p>
        </w:tc>
        <w:tc>
          <w:tcPr>
            <w:tcW w:w="0" w:type="dxa"/>
            <w:vAlign w:val="bottom"/>
          </w:tcPr>
          <w:p>
            <w:pPr>
              <w:spacing w:after="0"/>
              <w:rPr>
                <w:sz w:val="1"/>
                <w:szCs w:val="1"/>
                <w:color w:val="auto"/>
              </w:rPr>
            </w:pPr>
          </w:p>
        </w:tc>
      </w:tr>
      <w:tr>
        <w:trPr>
          <w:trHeight w:val="189"/>
        </w:trPr>
        <w:tc>
          <w:tcPr>
            <w:tcW w:w="4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(7,962)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(7,475)</w:t>
            </w:r>
          </w:p>
        </w:tc>
        <w:tc>
          <w:tcPr>
            <w:tcW w:w="0" w:type="dxa"/>
            <w:vAlign w:val="bottom"/>
          </w:tcPr>
          <w:p>
            <w:pPr>
              <w:spacing w:after="0"/>
              <w:rPr>
                <w:sz w:val="1"/>
                <w:szCs w:val="1"/>
                <w:color w:val="auto"/>
              </w:rPr>
            </w:pPr>
          </w:p>
        </w:tc>
      </w:tr>
      <w:tr>
        <w:trPr>
          <w:trHeight w:val="197"/>
        </w:trPr>
        <w:tc>
          <w:tcPr>
            <w:tcW w:w="4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(530)</w:t>
            </w:r>
          </w:p>
        </w:tc>
        <w:tc>
          <w:tcPr>
            <w:tcW w:w="0" w:type="dxa"/>
            <w:vAlign w:val="bottom"/>
          </w:tcPr>
          <w:p>
            <w:pPr>
              <w:spacing w:after="0"/>
              <w:rPr>
                <w:sz w:val="1"/>
                <w:szCs w:val="1"/>
                <w:color w:val="auto"/>
              </w:rPr>
            </w:pPr>
          </w:p>
        </w:tc>
      </w:tr>
      <w:tr>
        <w:trPr>
          <w:trHeight w:val="171"/>
        </w:trPr>
        <w:tc>
          <w:tcPr>
            <w:tcW w:w="4640" w:type="dxa"/>
            <w:vAlign w:val="bottom"/>
            <w:gridSpan w:val="3"/>
          </w:tcPr>
          <w:p>
            <w:pPr>
              <w:ind w:left="180"/>
              <w:spacing w:after="0" w:line="171" w:lineRule="exact"/>
              <w:rPr>
                <w:sz w:val="20"/>
                <w:szCs w:val="20"/>
                <w:color w:val="auto"/>
              </w:rPr>
            </w:pPr>
            <w:r>
              <w:rPr>
                <w:rFonts w:ascii="Times New Roman" w:cs="Times New Roman" w:eastAsia="Times New Roman" w:hAnsi="Times New Roman"/>
                <w:sz w:val="15"/>
                <w:szCs w:val="15"/>
                <w:color w:val="auto"/>
              </w:rPr>
              <w:t>Income before income taxes</w:t>
            </w:r>
          </w:p>
        </w:tc>
        <w:tc>
          <w:tcPr>
            <w:tcW w:w="360" w:type="dxa"/>
            <w:vAlign w:val="bottom"/>
          </w:tcPr>
          <w:p>
            <w:pPr>
              <w:jc w:val="right"/>
              <w:ind w:right="184"/>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152,773</w:t>
            </w:r>
          </w:p>
        </w:tc>
        <w:tc>
          <w:tcPr>
            <w:tcW w:w="120" w:type="dxa"/>
            <w:vAlign w:val="bottom"/>
          </w:tcPr>
          <w:p>
            <w:pPr>
              <w:spacing w:after="0"/>
              <w:rPr>
                <w:sz w:val="14"/>
                <w:szCs w:val="14"/>
                <w:color w:val="auto"/>
              </w:rPr>
            </w:pPr>
          </w:p>
        </w:tc>
        <w:tc>
          <w:tcPr>
            <w:tcW w:w="380" w:type="dxa"/>
            <w:vAlign w:val="bottom"/>
          </w:tcPr>
          <w:p>
            <w:pPr>
              <w:jc w:val="right"/>
              <w:ind w:right="204"/>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120,678</w:t>
            </w:r>
          </w:p>
        </w:tc>
        <w:tc>
          <w:tcPr>
            <w:tcW w:w="120" w:type="dxa"/>
            <w:vAlign w:val="bottom"/>
          </w:tcPr>
          <w:p>
            <w:pPr>
              <w:spacing w:after="0"/>
              <w:rPr>
                <w:sz w:val="14"/>
                <w:szCs w:val="14"/>
                <w:color w:val="auto"/>
              </w:rPr>
            </w:pPr>
          </w:p>
        </w:tc>
        <w:tc>
          <w:tcPr>
            <w:tcW w:w="380" w:type="dxa"/>
            <w:vAlign w:val="bottom"/>
          </w:tcPr>
          <w:p>
            <w:pPr>
              <w:jc w:val="right"/>
              <w:ind w:right="204"/>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202,930</w:t>
            </w:r>
          </w:p>
        </w:tc>
        <w:tc>
          <w:tcPr>
            <w:tcW w:w="120" w:type="dxa"/>
            <w:vAlign w:val="bottom"/>
          </w:tcPr>
          <w:p>
            <w:pPr>
              <w:spacing w:after="0"/>
              <w:rPr>
                <w:sz w:val="14"/>
                <w:szCs w:val="14"/>
                <w:color w:val="auto"/>
              </w:rPr>
            </w:pPr>
          </w:p>
        </w:tc>
        <w:tc>
          <w:tcPr>
            <w:tcW w:w="360" w:type="dxa"/>
            <w:vAlign w:val="bottom"/>
          </w:tcPr>
          <w:p>
            <w:pPr>
              <w:jc w:val="right"/>
              <w:ind w:right="184"/>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166,586</w:t>
            </w:r>
          </w:p>
        </w:tc>
        <w:tc>
          <w:tcPr>
            <w:tcW w:w="0" w:type="dxa"/>
            <w:vAlign w:val="bottom"/>
          </w:tcPr>
          <w:p>
            <w:pPr>
              <w:spacing w:after="0"/>
              <w:rPr>
                <w:sz w:val="1"/>
                <w:szCs w:val="1"/>
                <w:color w:val="auto"/>
              </w:rPr>
            </w:pPr>
          </w:p>
        </w:tc>
      </w:tr>
      <w:tr>
        <w:trPr>
          <w:trHeight w:val="197"/>
        </w:trPr>
        <w:tc>
          <w:tcPr>
            <w:tcW w:w="4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44,490</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34,767</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58,857</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47,791</w:t>
            </w:r>
          </w:p>
        </w:tc>
        <w:tc>
          <w:tcPr>
            <w:tcW w:w="0" w:type="dxa"/>
            <w:vAlign w:val="bottom"/>
          </w:tcPr>
          <w:p>
            <w:pPr>
              <w:spacing w:after="0"/>
              <w:rPr>
                <w:sz w:val="1"/>
                <w:szCs w:val="1"/>
                <w:color w:val="auto"/>
              </w:rPr>
            </w:pPr>
          </w:p>
        </w:tc>
      </w:tr>
      <w:tr>
        <w:trPr>
          <w:trHeight w:val="171"/>
        </w:trPr>
        <w:tc>
          <w:tcPr>
            <w:tcW w:w="4640" w:type="dxa"/>
            <w:vAlign w:val="bottom"/>
            <w:gridSpan w:val="3"/>
          </w:tcPr>
          <w:p>
            <w:pPr>
              <w:ind w:left="180"/>
              <w:spacing w:after="0" w:line="171" w:lineRule="exact"/>
              <w:rPr>
                <w:sz w:val="20"/>
                <w:szCs w:val="20"/>
                <w:color w:val="auto"/>
              </w:rPr>
            </w:pPr>
            <w:r>
              <w:rPr>
                <w:rFonts w:ascii="Times New Roman" w:cs="Times New Roman" w:eastAsia="Times New Roman" w:hAnsi="Times New Roman"/>
                <w:sz w:val="15"/>
                <w:szCs w:val="15"/>
                <w:color w:val="auto"/>
              </w:rPr>
              <w:t>Net income</w:t>
            </w:r>
          </w:p>
        </w:tc>
        <w:tc>
          <w:tcPr>
            <w:tcW w:w="360" w:type="dxa"/>
            <w:vAlign w:val="bottom"/>
          </w:tcPr>
          <w:p>
            <w:pPr>
              <w:jc w:val="right"/>
              <w:ind w:right="184"/>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108,283</w:t>
            </w:r>
          </w:p>
        </w:tc>
        <w:tc>
          <w:tcPr>
            <w:tcW w:w="120" w:type="dxa"/>
            <w:vAlign w:val="bottom"/>
          </w:tcPr>
          <w:p>
            <w:pPr>
              <w:spacing w:after="0"/>
              <w:rPr>
                <w:sz w:val="14"/>
                <w:szCs w:val="14"/>
                <w:color w:val="auto"/>
              </w:rPr>
            </w:pPr>
          </w:p>
        </w:tc>
        <w:tc>
          <w:tcPr>
            <w:tcW w:w="380" w:type="dxa"/>
            <w:vAlign w:val="bottom"/>
          </w:tcPr>
          <w:p>
            <w:pPr>
              <w:jc w:val="right"/>
              <w:ind w:right="204"/>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85,911</w:t>
            </w:r>
          </w:p>
        </w:tc>
        <w:tc>
          <w:tcPr>
            <w:tcW w:w="120" w:type="dxa"/>
            <w:vAlign w:val="bottom"/>
          </w:tcPr>
          <w:p>
            <w:pPr>
              <w:spacing w:after="0"/>
              <w:rPr>
                <w:sz w:val="14"/>
                <w:szCs w:val="14"/>
                <w:color w:val="auto"/>
              </w:rPr>
            </w:pPr>
          </w:p>
        </w:tc>
        <w:tc>
          <w:tcPr>
            <w:tcW w:w="380" w:type="dxa"/>
            <w:vAlign w:val="bottom"/>
          </w:tcPr>
          <w:p>
            <w:pPr>
              <w:jc w:val="right"/>
              <w:ind w:right="204"/>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144,073</w:t>
            </w:r>
          </w:p>
        </w:tc>
        <w:tc>
          <w:tcPr>
            <w:tcW w:w="120" w:type="dxa"/>
            <w:vAlign w:val="bottom"/>
          </w:tcPr>
          <w:p>
            <w:pPr>
              <w:spacing w:after="0"/>
              <w:rPr>
                <w:sz w:val="14"/>
                <w:szCs w:val="14"/>
                <w:color w:val="auto"/>
              </w:rPr>
            </w:pPr>
          </w:p>
        </w:tc>
        <w:tc>
          <w:tcPr>
            <w:tcW w:w="360" w:type="dxa"/>
            <w:vAlign w:val="bottom"/>
          </w:tcPr>
          <w:p>
            <w:pPr>
              <w:jc w:val="right"/>
              <w:ind w:right="184"/>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118,795</w:t>
            </w:r>
          </w:p>
        </w:tc>
        <w:tc>
          <w:tcPr>
            <w:tcW w:w="0" w:type="dxa"/>
            <w:vAlign w:val="bottom"/>
          </w:tcPr>
          <w:p>
            <w:pPr>
              <w:spacing w:after="0"/>
              <w:rPr>
                <w:sz w:val="1"/>
                <w:szCs w:val="1"/>
                <w:color w:val="auto"/>
              </w:rPr>
            </w:pPr>
          </w:p>
        </w:tc>
      </w:tr>
      <w:tr>
        <w:trPr>
          <w:trHeight w:val="197"/>
        </w:trPr>
        <w:tc>
          <w:tcPr>
            <w:tcW w:w="464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General Partner's interest in net income</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1,063</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802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1,412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1,109</w:t>
            </w:r>
          </w:p>
        </w:tc>
        <w:tc>
          <w:tcPr>
            <w:tcW w:w="0" w:type="dxa"/>
            <w:vAlign w:val="bottom"/>
          </w:tcPr>
          <w:p>
            <w:pPr>
              <w:spacing w:after="0"/>
              <w:rPr>
                <w:sz w:val="1"/>
                <w:szCs w:val="1"/>
                <w:color w:val="auto"/>
              </w:rPr>
            </w:pPr>
          </w:p>
        </w:tc>
      </w:tr>
      <w:tr>
        <w:trPr>
          <w:trHeight w:val="180"/>
        </w:trPr>
        <w:tc>
          <w:tcPr>
            <w:tcW w:w="4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Limited Partners; interest in net income</w:t>
            </w:r>
          </w:p>
        </w:tc>
        <w:tc>
          <w:tcPr>
            <w:tcW w:w="3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107,220</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85,109</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142,661</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117,686</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Per unit data (Basic and Diluted):</w:t>
            </w:r>
          </w:p>
        </w:tc>
        <w:tc>
          <w:tcPr>
            <w:tcW w:w="2600" w:type="dxa"/>
            <w:vAlign w:val="bottom"/>
            <w:gridSpan w:val="2"/>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040" w:type="dxa"/>
            <w:vAlign w:val="bottom"/>
            <w:tcBorders>
              <w:bottom w:val="single" w:sz="8" w:color="auto"/>
            </w:tcBorders>
            <w:vMerge w:val="continue"/>
          </w:tcPr>
          <w:p>
            <w:pPr>
              <w:spacing w:after="0"/>
              <w:rPr>
                <w:sz w:val="24"/>
                <w:szCs w:val="24"/>
                <w:color w:val="auto"/>
              </w:rPr>
            </w:pPr>
          </w:p>
        </w:tc>
        <w:tc>
          <w:tcPr>
            <w:tcW w:w="26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income available to limited partners</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3.26</w:t>
            </w:r>
          </w:p>
        </w:tc>
        <w:tc>
          <w:tcPr>
            <w:tcW w:w="12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2.46</w:t>
            </w:r>
          </w:p>
        </w:tc>
        <w:tc>
          <w:tcPr>
            <w:tcW w:w="12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4.32</w:t>
            </w:r>
          </w:p>
        </w:tc>
        <w:tc>
          <w:tcPr>
            <w:tcW w:w="12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3.40</w:t>
            </w:r>
          </w:p>
        </w:tc>
        <w:tc>
          <w:tcPr>
            <w:tcW w:w="0" w:type="dxa"/>
            <w:vAlign w:val="bottom"/>
          </w:tcPr>
          <w:p>
            <w:pPr>
              <w:spacing w:after="0"/>
              <w:rPr>
                <w:sz w:val="1"/>
                <w:szCs w:val="1"/>
                <w:color w:val="auto"/>
              </w:rPr>
            </w:pPr>
          </w:p>
        </w:tc>
      </w:tr>
      <w:tr>
        <w:trPr>
          <w:trHeight w:val="197"/>
        </w:trPr>
        <w:tc>
          <w:tcPr>
            <w:tcW w:w="4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Dilutive impact of theoretical distribution of earnings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0.60</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0.45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0.77</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0.60</w:t>
            </w:r>
          </w:p>
        </w:tc>
        <w:tc>
          <w:tcPr>
            <w:tcW w:w="0" w:type="dxa"/>
            <w:vAlign w:val="bottom"/>
          </w:tcPr>
          <w:p>
            <w:pPr>
              <w:spacing w:after="0"/>
              <w:rPr>
                <w:sz w:val="1"/>
                <w:szCs w:val="1"/>
                <w:color w:val="auto"/>
              </w:rPr>
            </w:pPr>
          </w:p>
        </w:tc>
      </w:tr>
    </w:tbl>
    <w:p>
      <w:pPr>
        <w:sectPr>
          <w:pgSz w:w="11900" w:h="16838" w:orient="portrait"/>
          <w:cols w:equalWidth="0" w:num="1">
            <w:col w:w="11300"/>
          </w:cols>
          <w:pgMar w:left="300" w:top="122" w:right="2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Basic and diluted income per Limited Partner Unit:</w:t>
            </w:r>
          </w:p>
        </w:tc>
        <w:tc>
          <w:tcPr>
            <w:tcW w:w="5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2.66</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2.01</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3.55</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2.80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Weighted average number of Limited Partner units outstanding (Basic and</w:t>
            </w: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6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32,885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34,569</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32,985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34,578</w:t>
            </w:r>
          </w:p>
        </w:tc>
        <w:tc>
          <w:tcPr>
            <w:tcW w:w="0" w:type="dxa"/>
            <w:vAlign w:val="bottom"/>
          </w:tcPr>
          <w:p>
            <w:pPr>
              <w:spacing w:after="0"/>
              <w:rPr>
                <w:sz w:val="1"/>
                <w:szCs w:val="1"/>
                <w:color w:val="auto"/>
              </w:rPr>
            </w:pPr>
          </w:p>
        </w:tc>
      </w:tr>
      <w:tr>
        <w:trPr>
          <w:trHeight w:val="102"/>
        </w:trPr>
        <w:tc>
          <w:tcPr>
            <w:tcW w:w="4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Diluted)</w:t>
            </w:r>
          </w:p>
        </w:tc>
        <w:tc>
          <w:tcPr>
            <w:tcW w:w="5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640" w:type="dxa"/>
            <w:vAlign w:val="bottom"/>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SUPPLEMENTAL INFORMATION</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STAR GROUP, L.P. AND SUBSIDIARIES</w:t>
      </w:r>
    </w:p>
    <w:p>
      <w:pPr>
        <w:jc w:val="center"/>
        <w:ind w:right="20"/>
        <w:spacing w:after="0" w:line="236" w:lineRule="auto"/>
        <w:rPr>
          <w:sz w:val="20"/>
          <w:szCs w:val="20"/>
          <w:color w:val="auto"/>
        </w:rPr>
      </w:pPr>
      <w:r>
        <w:rPr>
          <w:rFonts w:ascii="Times New Roman" w:cs="Times New Roman" w:eastAsia="Times New Roman" w:hAnsi="Times New Roman"/>
          <w:sz w:val="15"/>
          <w:szCs w:val="15"/>
          <w:b w:val="1"/>
          <w:bCs w:val="1"/>
          <w:color w:val="auto"/>
        </w:rPr>
        <w:t>RECONCILIATION OF EBITDA AND ADJUSTED EBITDA</w:t>
      </w: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1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4"/>
          </w:tcPr>
          <w:p>
            <w:pPr>
              <w:jc w:val="right"/>
              <w:ind w:right="985"/>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132"/>
        </w:trPr>
        <w:tc>
          <w:tcPr>
            <w:tcW w:w="712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1560" w:type="dxa"/>
            <w:vAlign w:val="bottom"/>
          </w:tcPr>
          <w:p>
            <w:pPr>
              <w:jc w:val="right"/>
              <w:ind w:right="805"/>
              <w:spacing w:after="0" w:line="12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tcPr>
          <w:p>
            <w:pPr>
              <w:jc w:val="right"/>
              <w:ind w:right="785"/>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9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Net income</w:t>
            </w:r>
          </w:p>
        </w:tc>
        <w:tc>
          <w:tcPr>
            <w:tcW w:w="6200" w:type="dxa"/>
            <w:vAlign w:val="bottom"/>
            <w:gridSpan w:val="2"/>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6200" w:type="dxa"/>
            <w:vAlign w:val="bottom"/>
            <w:gridSpan w:val="2"/>
            <w:vMerge w:val="continue"/>
          </w:tcPr>
          <w:p>
            <w:pPr>
              <w:spacing w:after="0"/>
              <w:rPr>
                <w:sz w:val="14"/>
                <w:szCs w:val="14"/>
                <w:color w:val="auto"/>
              </w:rPr>
            </w:pPr>
          </w:p>
        </w:tc>
        <w:tc>
          <w:tcPr>
            <w:tcW w:w="480" w:type="dxa"/>
            <w:vAlign w:val="bottom"/>
          </w:tcPr>
          <w:p>
            <w:pPr>
              <w:jc w:val="right"/>
              <w:ind w:right="28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45"/>
              <w:spacing w:after="0" w:line="169" w:lineRule="exact"/>
              <w:rPr>
                <w:sz w:val="20"/>
                <w:szCs w:val="20"/>
                <w:color w:val="auto"/>
              </w:rPr>
            </w:pPr>
            <w:r>
              <w:rPr>
                <w:rFonts w:ascii="Times New Roman" w:cs="Times New Roman" w:eastAsia="Times New Roman" w:hAnsi="Times New Roman"/>
                <w:sz w:val="15"/>
                <w:szCs w:val="15"/>
                <w:color w:val="auto"/>
              </w:rPr>
              <w:t>108,283</w:t>
            </w:r>
          </w:p>
        </w:tc>
        <w:tc>
          <w:tcPr>
            <w:tcW w:w="120" w:type="dxa"/>
            <w:vAlign w:val="bottom"/>
          </w:tcPr>
          <w:p>
            <w:pPr>
              <w:spacing w:after="0"/>
              <w:rPr>
                <w:sz w:val="14"/>
                <w:szCs w:val="14"/>
                <w:color w:val="auto"/>
              </w:rPr>
            </w:pPr>
          </w:p>
        </w:tc>
        <w:tc>
          <w:tcPr>
            <w:tcW w:w="480" w:type="dxa"/>
            <w:vAlign w:val="bottom"/>
          </w:tcPr>
          <w:p>
            <w:pPr>
              <w:jc w:val="right"/>
              <w:ind w:right="30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ind w:right="45"/>
              <w:spacing w:after="0" w:line="169" w:lineRule="exact"/>
              <w:rPr>
                <w:sz w:val="20"/>
                <w:szCs w:val="20"/>
                <w:color w:val="auto"/>
              </w:rPr>
            </w:pPr>
            <w:r>
              <w:rPr>
                <w:rFonts w:ascii="Times New Roman" w:cs="Times New Roman" w:eastAsia="Times New Roman" w:hAnsi="Times New Roman"/>
                <w:sz w:val="15"/>
                <w:szCs w:val="15"/>
                <w:color w:val="auto"/>
              </w:rPr>
              <w:t>85,911</w:t>
            </w:r>
          </w:p>
        </w:tc>
        <w:tc>
          <w:tcPr>
            <w:tcW w:w="0" w:type="dxa"/>
            <w:vAlign w:val="bottom"/>
          </w:tcPr>
          <w:p>
            <w:pPr>
              <w:spacing w:after="0"/>
              <w:rPr>
                <w:sz w:val="1"/>
                <w:szCs w:val="1"/>
                <w:color w:val="auto"/>
              </w:rPr>
            </w:pPr>
          </w:p>
        </w:tc>
      </w:tr>
      <w:tr>
        <w:trPr>
          <w:trHeight w:val="189"/>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Plus:</w:t>
            </w: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480" w:type="dxa"/>
            <w:vAlign w:val="bottom"/>
          </w:tcPr>
          <w:p>
            <w:pPr>
              <w:spacing w:after="0"/>
              <w:rPr>
                <w:sz w:val="16"/>
                <w:szCs w:val="16"/>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44,490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34,767</w:t>
            </w:r>
          </w:p>
        </w:tc>
        <w:tc>
          <w:tcPr>
            <w:tcW w:w="0" w:type="dxa"/>
            <w:vAlign w:val="bottom"/>
          </w:tcPr>
          <w:p>
            <w:pPr>
              <w:spacing w:after="0"/>
              <w:rPr>
                <w:sz w:val="1"/>
                <w:szCs w:val="1"/>
                <w:color w:val="auto"/>
              </w:rPr>
            </w:pPr>
          </w:p>
        </w:tc>
      </w:tr>
      <w:tr>
        <w:trPr>
          <w:trHeight w:val="189"/>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480" w:type="dxa"/>
            <w:vAlign w:val="bottom"/>
          </w:tcPr>
          <w:p>
            <w:pPr>
              <w:spacing w:after="0"/>
              <w:rPr>
                <w:sz w:val="16"/>
                <w:szCs w:val="16"/>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265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230</w:t>
            </w:r>
          </w:p>
        </w:tc>
        <w:tc>
          <w:tcPr>
            <w:tcW w:w="0" w:type="dxa"/>
            <w:vAlign w:val="bottom"/>
          </w:tcPr>
          <w:p>
            <w:pPr>
              <w:spacing w:after="0"/>
              <w:rPr>
                <w:sz w:val="1"/>
                <w:szCs w:val="1"/>
                <w:color w:val="auto"/>
              </w:rPr>
            </w:pPr>
          </w:p>
        </w:tc>
      </w:tr>
      <w:tr>
        <w:trPr>
          <w:trHeight w:val="189"/>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480" w:type="dxa"/>
            <w:vAlign w:val="bottom"/>
          </w:tcPr>
          <w:p>
            <w:pPr>
              <w:spacing w:after="0"/>
              <w:rPr>
                <w:sz w:val="16"/>
                <w:szCs w:val="16"/>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4,143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4,464</w:t>
            </w:r>
          </w:p>
        </w:tc>
        <w:tc>
          <w:tcPr>
            <w:tcW w:w="0" w:type="dxa"/>
            <w:vAlign w:val="bottom"/>
          </w:tcPr>
          <w:p>
            <w:pPr>
              <w:spacing w:after="0"/>
              <w:rPr>
                <w:sz w:val="1"/>
                <w:szCs w:val="1"/>
                <w:color w:val="auto"/>
              </w:rPr>
            </w:pPr>
          </w:p>
        </w:tc>
      </w:tr>
      <w:tr>
        <w:trPr>
          <w:trHeight w:val="197"/>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8,285</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8,912</w:t>
            </w:r>
          </w:p>
        </w:tc>
        <w:tc>
          <w:tcPr>
            <w:tcW w:w="0" w:type="dxa"/>
            <w:vAlign w:val="bottom"/>
          </w:tcPr>
          <w:p>
            <w:pPr>
              <w:spacing w:after="0"/>
              <w:rPr>
                <w:sz w:val="1"/>
                <w:szCs w:val="1"/>
                <w:color w:val="auto"/>
              </w:rPr>
            </w:pPr>
          </w:p>
        </w:tc>
      </w:tr>
      <w:tr>
        <w:trPr>
          <w:trHeight w:val="171"/>
        </w:trPr>
        <w:tc>
          <w:tcPr>
            <w:tcW w:w="7120" w:type="dxa"/>
            <w:vAlign w:val="bottom"/>
            <w:gridSpan w:val="3"/>
          </w:tcPr>
          <w:p>
            <w:pPr>
              <w:spacing w:after="0" w:line="171" w:lineRule="exact"/>
              <w:rPr>
                <w:sz w:val="20"/>
                <w:szCs w:val="20"/>
                <w:color w:val="auto"/>
              </w:rPr>
            </w:pPr>
            <w:r>
              <w:rPr>
                <w:rFonts w:ascii="Times New Roman" w:cs="Times New Roman" w:eastAsia="Times New Roman" w:hAnsi="Times New Roman"/>
                <w:sz w:val="15"/>
                <w:szCs w:val="15"/>
                <w:color w:val="auto"/>
              </w:rPr>
              <w:t>EBITDA</w:t>
            </w:r>
          </w:p>
        </w:tc>
        <w:tc>
          <w:tcPr>
            <w:tcW w:w="480" w:type="dxa"/>
            <w:vAlign w:val="bottom"/>
          </w:tcPr>
          <w:p>
            <w:pPr>
              <w:spacing w:after="0"/>
              <w:rPr>
                <w:sz w:val="14"/>
                <w:szCs w:val="14"/>
                <w:color w:val="auto"/>
              </w:rPr>
            </w:pPr>
          </w:p>
        </w:tc>
        <w:tc>
          <w:tcPr>
            <w:tcW w:w="156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165,466</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134,284</w:t>
            </w:r>
          </w:p>
        </w:tc>
        <w:tc>
          <w:tcPr>
            <w:tcW w:w="0" w:type="dxa"/>
            <w:vAlign w:val="bottom"/>
          </w:tcPr>
          <w:p>
            <w:pPr>
              <w:spacing w:after="0"/>
              <w:rPr>
                <w:sz w:val="1"/>
                <w:szCs w:val="1"/>
                <w:color w:val="auto"/>
              </w:rPr>
            </w:pPr>
          </w:p>
        </w:tc>
      </w:tr>
      <w:tr>
        <w:trPr>
          <w:trHeight w:val="197"/>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(Increase) / decrease in the fair value of derivative instruments</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(26,812)</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(6,101)</w:t>
            </w:r>
          </w:p>
        </w:tc>
        <w:tc>
          <w:tcPr>
            <w:tcW w:w="0" w:type="dxa"/>
            <w:vAlign w:val="bottom"/>
          </w:tcPr>
          <w:p>
            <w:pPr>
              <w:spacing w:after="0"/>
              <w:rPr>
                <w:sz w:val="1"/>
                <w:szCs w:val="1"/>
                <w:color w:val="auto"/>
              </w:rPr>
            </w:pPr>
          </w:p>
        </w:tc>
      </w:tr>
      <w:tr>
        <w:trPr>
          <w:trHeight w:val="167"/>
        </w:trPr>
        <w:tc>
          <w:tcPr>
            <w:tcW w:w="7120" w:type="dxa"/>
            <w:vAlign w:val="bottom"/>
            <w:gridSpan w:val="3"/>
          </w:tcPr>
          <w:p>
            <w:pPr>
              <w:spacing w:after="0" w:line="167" w:lineRule="exact"/>
              <w:rPr>
                <w:sz w:val="20"/>
                <w:szCs w:val="20"/>
                <w:color w:val="auto"/>
              </w:rPr>
            </w:pPr>
            <w:r>
              <w:rPr>
                <w:rFonts w:ascii="Times New Roman" w:cs="Times New Roman" w:eastAsia="Times New Roman" w:hAnsi="Times New Roman"/>
                <w:sz w:val="15"/>
                <w:szCs w:val="15"/>
                <w:color w:val="auto"/>
              </w:rPr>
              <w:t>Adjusted EBITDA</w:t>
            </w:r>
          </w:p>
        </w:tc>
        <w:tc>
          <w:tcPr>
            <w:tcW w:w="480" w:type="dxa"/>
            <w:vAlign w:val="bottom"/>
          </w:tcPr>
          <w:p>
            <w:pPr>
              <w:spacing w:after="0"/>
              <w:rPr>
                <w:sz w:val="14"/>
                <w:szCs w:val="14"/>
                <w:color w:val="auto"/>
              </w:rPr>
            </w:pPr>
          </w:p>
        </w:tc>
        <w:tc>
          <w:tcPr>
            <w:tcW w:w="1560" w:type="dxa"/>
            <w:vAlign w:val="bottom"/>
          </w:tcPr>
          <w:p>
            <w:pPr>
              <w:jc w:val="right"/>
              <w:ind w:right="45"/>
              <w:spacing w:after="0" w:line="167" w:lineRule="exact"/>
              <w:rPr>
                <w:sz w:val="20"/>
                <w:szCs w:val="20"/>
                <w:color w:val="auto"/>
              </w:rPr>
            </w:pPr>
            <w:r>
              <w:rPr>
                <w:rFonts w:ascii="Times New Roman" w:cs="Times New Roman" w:eastAsia="Times New Roman" w:hAnsi="Times New Roman"/>
                <w:sz w:val="15"/>
                <w:szCs w:val="15"/>
                <w:color w:val="auto"/>
              </w:rPr>
              <w:t>138,654</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ind w:right="45"/>
              <w:spacing w:after="0" w:line="167" w:lineRule="exact"/>
              <w:rPr>
                <w:sz w:val="20"/>
                <w:szCs w:val="20"/>
                <w:color w:val="auto"/>
              </w:rPr>
            </w:pPr>
            <w:r>
              <w:rPr>
                <w:rFonts w:ascii="Times New Roman" w:cs="Times New Roman" w:eastAsia="Times New Roman" w:hAnsi="Times New Roman"/>
                <w:sz w:val="15"/>
                <w:szCs w:val="15"/>
                <w:color w:val="auto"/>
              </w:rPr>
              <w:t>128,183</w:t>
            </w:r>
          </w:p>
        </w:tc>
        <w:tc>
          <w:tcPr>
            <w:tcW w:w="0" w:type="dxa"/>
            <w:vAlign w:val="bottom"/>
          </w:tcPr>
          <w:p>
            <w:pPr>
              <w:spacing w:after="0"/>
              <w:rPr>
                <w:sz w:val="1"/>
                <w:szCs w:val="1"/>
                <w:color w:val="auto"/>
              </w:rPr>
            </w:pPr>
          </w:p>
        </w:tc>
      </w:tr>
      <w:tr>
        <w:trPr>
          <w:trHeight w:val="164"/>
        </w:trPr>
        <w:tc>
          <w:tcPr>
            <w:tcW w:w="1040" w:type="dxa"/>
            <w:vAlign w:val="bottom"/>
            <w:tcBorders>
              <w:bottom w:val="single" w:sz="8" w:color="auto"/>
            </w:tcBorders>
            <w:gridSpan w:val="2"/>
          </w:tcPr>
          <w:p>
            <w:pPr>
              <w:spacing w:after="0" w:line="164" w:lineRule="exact"/>
              <w:rPr>
                <w:sz w:val="20"/>
                <w:szCs w:val="20"/>
                <w:color w:val="auto"/>
              </w:rPr>
            </w:pPr>
            <w:r>
              <w:rPr>
                <w:rFonts w:ascii="Times New Roman" w:cs="Times New Roman" w:eastAsia="Times New Roman" w:hAnsi="Times New Roman"/>
                <w:sz w:val="15"/>
                <w:szCs w:val="15"/>
                <w:b w:val="1"/>
                <w:bCs w:val="1"/>
                <w:color w:val="auto"/>
                <w:w w:val="99"/>
              </w:rPr>
              <w:t>Add / (subtract)</w:t>
            </w:r>
          </w:p>
        </w:tc>
        <w:tc>
          <w:tcPr>
            <w:tcW w:w="6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4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(44,490)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(34,767)</w:t>
            </w:r>
          </w:p>
        </w:tc>
        <w:tc>
          <w:tcPr>
            <w:tcW w:w="0" w:type="dxa"/>
            <w:vAlign w:val="bottom"/>
          </w:tcPr>
          <w:p>
            <w:pPr>
              <w:spacing w:after="0"/>
              <w:rPr>
                <w:sz w:val="1"/>
                <w:szCs w:val="1"/>
                <w:color w:val="auto"/>
              </w:rPr>
            </w:pPr>
          </w:p>
        </w:tc>
      </w:tr>
      <w:tr>
        <w:trPr>
          <w:trHeight w:val="189"/>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(4,464)</w:t>
            </w:r>
          </w:p>
        </w:tc>
        <w:tc>
          <w:tcPr>
            <w:tcW w:w="0" w:type="dxa"/>
            <w:vAlign w:val="bottom"/>
          </w:tcPr>
          <w:p>
            <w:pPr>
              <w:spacing w:after="0"/>
              <w:rPr>
                <w:sz w:val="1"/>
                <w:szCs w:val="1"/>
                <w:color w:val="auto"/>
              </w:rPr>
            </w:pPr>
          </w:p>
        </w:tc>
      </w:tr>
      <w:tr>
        <w:trPr>
          <w:trHeight w:val="189"/>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Provision for losses on accounts receivable</w:t>
            </w:r>
          </w:p>
        </w:tc>
        <w:tc>
          <w:tcPr>
            <w:tcW w:w="480" w:type="dxa"/>
            <w:vAlign w:val="bottom"/>
          </w:tcPr>
          <w:p>
            <w:pPr>
              <w:spacing w:after="0"/>
              <w:rPr>
                <w:sz w:val="16"/>
                <w:szCs w:val="16"/>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3,071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2,987</w:t>
            </w:r>
          </w:p>
        </w:tc>
        <w:tc>
          <w:tcPr>
            <w:tcW w:w="0" w:type="dxa"/>
            <w:vAlign w:val="bottom"/>
          </w:tcPr>
          <w:p>
            <w:pPr>
              <w:spacing w:after="0"/>
              <w:rPr>
                <w:sz w:val="1"/>
                <w:szCs w:val="1"/>
                <w:color w:val="auto"/>
              </w:rPr>
            </w:pPr>
          </w:p>
        </w:tc>
      </w:tr>
      <w:tr>
        <w:trPr>
          <w:trHeight w:val="189"/>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Increase in accounts receivables</w:t>
            </w: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(67,041)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(43,246)</w:t>
            </w:r>
          </w:p>
        </w:tc>
        <w:tc>
          <w:tcPr>
            <w:tcW w:w="0" w:type="dxa"/>
            <w:vAlign w:val="bottom"/>
          </w:tcPr>
          <w:p>
            <w:pPr>
              <w:spacing w:after="0"/>
              <w:rPr>
                <w:sz w:val="1"/>
                <w:szCs w:val="1"/>
                <w:color w:val="auto"/>
              </w:rPr>
            </w:pPr>
          </w:p>
        </w:tc>
      </w:tr>
      <w:tr>
        <w:trPr>
          <w:trHeight w:val="189"/>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(Increase) decrease in inventories</w:t>
            </w: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(11,240)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4,520</w:t>
            </w:r>
          </w:p>
        </w:tc>
        <w:tc>
          <w:tcPr>
            <w:tcW w:w="0" w:type="dxa"/>
            <w:vAlign w:val="bottom"/>
          </w:tcPr>
          <w:p>
            <w:pPr>
              <w:spacing w:after="0"/>
              <w:rPr>
                <w:sz w:val="1"/>
                <w:szCs w:val="1"/>
                <w:color w:val="auto"/>
              </w:rPr>
            </w:pPr>
          </w:p>
        </w:tc>
      </w:tr>
      <w:tr>
        <w:trPr>
          <w:trHeight w:val="189"/>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Decrease in customer credit balances</w:t>
            </w: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(29,757)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(45,201)</w:t>
            </w:r>
          </w:p>
        </w:tc>
        <w:tc>
          <w:tcPr>
            <w:tcW w:w="0" w:type="dxa"/>
            <w:vAlign w:val="bottom"/>
          </w:tcPr>
          <w:p>
            <w:pPr>
              <w:spacing w:after="0"/>
              <w:rPr>
                <w:sz w:val="1"/>
                <w:szCs w:val="1"/>
                <w:color w:val="auto"/>
              </w:rPr>
            </w:pPr>
          </w:p>
        </w:tc>
      </w:tr>
      <w:tr>
        <w:trPr>
          <w:trHeight w:val="189"/>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Change in deferred taxes</w:t>
            </w:r>
          </w:p>
        </w:tc>
        <w:tc>
          <w:tcPr>
            <w:tcW w:w="480" w:type="dxa"/>
            <w:vAlign w:val="bottom"/>
          </w:tcPr>
          <w:p>
            <w:pPr>
              <w:spacing w:after="0"/>
              <w:rPr>
                <w:sz w:val="16"/>
                <w:szCs w:val="16"/>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13,021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8,737</w:t>
            </w:r>
          </w:p>
        </w:tc>
        <w:tc>
          <w:tcPr>
            <w:tcW w:w="0" w:type="dxa"/>
            <w:vAlign w:val="bottom"/>
          </w:tcPr>
          <w:p>
            <w:pPr>
              <w:spacing w:after="0"/>
              <w:rPr>
                <w:sz w:val="1"/>
                <w:szCs w:val="1"/>
                <w:color w:val="auto"/>
              </w:rPr>
            </w:pPr>
          </w:p>
        </w:tc>
      </w:tr>
      <w:tr>
        <w:trPr>
          <w:trHeight w:val="197"/>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Change in other operating assets and liabilities</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(3,970)</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31,856</w:t>
            </w:r>
          </w:p>
        </w:tc>
        <w:tc>
          <w:tcPr>
            <w:tcW w:w="0" w:type="dxa"/>
            <w:vAlign w:val="bottom"/>
          </w:tcPr>
          <w:p>
            <w:pPr>
              <w:spacing w:after="0"/>
              <w:rPr>
                <w:sz w:val="1"/>
                <w:szCs w:val="1"/>
                <w:color w:val="auto"/>
              </w:rPr>
            </w:pPr>
          </w:p>
        </w:tc>
      </w:tr>
      <w:tr>
        <w:trPr>
          <w:trHeight w:val="180"/>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4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(5,895)</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48,605</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120" w:type="dxa"/>
            <w:vAlign w:val="bottom"/>
            <w:gridSpan w:val="3"/>
            <w:vMerge w:val="continue"/>
          </w:tcPr>
          <w:p>
            <w:pPr>
              <w:spacing w:after="0"/>
              <w:rPr>
                <w:sz w:val="14"/>
                <w:szCs w:val="14"/>
                <w:color w:val="auto"/>
              </w:rPr>
            </w:pPr>
          </w:p>
        </w:tc>
        <w:tc>
          <w:tcPr>
            <w:tcW w:w="480" w:type="dxa"/>
            <w:vAlign w:val="bottom"/>
            <w:tcBorders>
              <w:bottom w:val="single" w:sz="8" w:color="auto"/>
            </w:tcBorders>
          </w:tcPr>
          <w:p>
            <w:pPr>
              <w:jc w:val="right"/>
              <w:ind w:right="284"/>
              <w:spacing w:after="0" w:line="167" w:lineRule="exact"/>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(4,860)</w:t>
            </w: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ind w:right="304"/>
              <w:spacing w:after="0" w:line="167" w:lineRule="exact"/>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(81,755)</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120" w:type="dxa"/>
            <w:vAlign w:val="bottom"/>
            <w:gridSpan w:val="3"/>
            <w:vMerge w:val="continue"/>
          </w:tcPr>
          <w:p>
            <w:pPr>
              <w:spacing w:after="0"/>
              <w:rPr>
                <w:sz w:val="14"/>
                <w:szCs w:val="14"/>
                <w:color w:val="auto"/>
              </w:rPr>
            </w:pPr>
          </w:p>
        </w:tc>
        <w:tc>
          <w:tcPr>
            <w:tcW w:w="480" w:type="dxa"/>
            <w:vAlign w:val="bottom"/>
            <w:tcBorders>
              <w:bottom w:val="single" w:sz="8" w:color="auto"/>
            </w:tcBorders>
          </w:tcPr>
          <w:p>
            <w:pPr>
              <w:jc w:val="right"/>
              <w:ind w:right="284"/>
              <w:spacing w:after="0" w:line="167" w:lineRule="exact"/>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ind w:right="45"/>
              <w:spacing w:after="0" w:line="167" w:lineRule="exact"/>
              <w:rPr>
                <w:sz w:val="20"/>
                <w:szCs w:val="20"/>
                <w:color w:val="auto"/>
              </w:rPr>
            </w:pPr>
            <w:r>
              <w:rPr>
                <w:rFonts w:ascii="Times New Roman" w:cs="Times New Roman" w:eastAsia="Times New Roman" w:hAnsi="Times New Roman"/>
                <w:sz w:val="15"/>
                <w:szCs w:val="15"/>
                <w:color w:val="auto"/>
              </w:rPr>
              <w:t>3,088</w:t>
            </w: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ind w:right="304"/>
              <w:spacing w:after="0" w:line="167" w:lineRule="exact"/>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ind w:right="45"/>
              <w:spacing w:after="0" w:line="167" w:lineRule="exact"/>
              <w:rPr>
                <w:sz w:val="20"/>
                <w:szCs w:val="20"/>
                <w:color w:val="auto"/>
              </w:rPr>
            </w:pPr>
            <w:r>
              <w:rPr>
                <w:rFonts w:ascii="Times New Roman" w:cs="Times New Roman" w:eastAsia="Times New Roman" w:hAnsi="Times New Roman"/>
                <w:sz w:val="15"/>
                <w:szCs w:val="15"/>
                <w:color w:val="auto"/>
              </w:rPr>
              <w:t>2,860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Home heating oil and propane gallons sold</w:t>
            </w:r>
          </w:p>
        </w:tc>
        <w:tc>
          <w:tcPr>
            <w:tcW w:w="480" w:type="dxa"/>
            <w:vAlign w:val="bottom"/>
          </w:tcPr>
          <w:p>
            <w:pPr>
              <w:spacing w:after="0"/>
              <w:rPr>
                <w:sz w:val="24"/>
                <w:szCs w:val="24"/>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144,500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143,900</w:t>
            </w:r>
          </w:p>
        </w:tc>
        <w:tc>
          <w:tcPr>
            <w:tcW w:w="0" w:type="dxa"/>
            <w:vAlign w:val="bottom"/>
          </w:tcPr>
          <w:p>
            <w:pPr>
              <w:spacing w:after="0"/>
              <w:rPr>
                <w:sz w:val="1"/>
                <w:szCs w:val="1"/>
                <w:color w:val="auto"/>
              </w:rPr>
            </w:pPr>
          </w:p>
        </w:tc>
      </w:tr>
      <w:tr>
        <w:trPr>
          <w:trHeight w:val="197"/>
        </w:trPr>
        <w:tc>
          <w:tcPr>
            <w:tcW w:w="7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Other petroleum products</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26,800</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28,900</w:t>
            </w:r>
          </w:p>
        </w:tc>
        <w:tc>
          <w:tcPr>
            <w:tcW w:w="0" w:type="dxa"/>
            <w:vAlign w:val="bottom"/>
          </w:tcPr>
          <w:p>
            <w:pPr>
              <w:spacing w:after="0"/>
              <w:rPr>
                <w:sz w:val="1"/>
                <w:szCs w:val="1"/>
                <w:color w:val="auto"/>
              </w:rPr>
            </w:pPr>
          </w:p>
        </w:tc>
      </w:tr>
      <w:tr>
        <w:trPr>
          <w:trHeight w:val="180"/>
        </w:trPr>
        <w:tc>
          <w:tcPr>
            <w:tcW w:w="712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Total all products</w:t>
            </w: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171,300</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172,800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SUPPLEMENTAL INFORMATION</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STAR GROUP, L.P. AND SUBSIDIARIES</w:t>
      </w:r>
    </w:p>
    <w:p>
      <w:pPr>
        <w:jc w:val="center"/>
        <w:ind w:right="20"/>
        <w:spacing w:after="0" w:line="236" w:lineRule="auto"/>
        <w:rPr>
          <w:sz w:val="20"/>
          <w:szCs w:val="20"/>
          <w:color w:val="auto"/>
        </w:rPr>
      </w:pPr>
      <w:r>
        <w:rPr>
          <w:rFonts w:ascii="Times New Roman" w:cs="Times New Roman" w:eastAsia="Times New Roman" w:hAnsi="Times New Roman"/>
          <w:sz w:val="15"/>
          <w:szCs w:val="15"/>
          <w:b w:val="1"/>
          <w:bCs w:val="1"/>
          <w:color w:val="auto"/>
        </w:rPr>
        <w:t>RECONCILIATION OF EBITDA AND ADJUSTED EBITDA</w:t>
      </w: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4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4"/>
          </w:tcPr>
          <w:p>
            <w:pPr>
              <w:jc w:val="right"/>
              <w:ind w:right="1065"/>
              <w:spacing w:after="0"/>
              <w:rPr>
                <w:sz w:val="20"/>
                <w:szCs w:val="20"/>
                <w:color w:val="auto"/>
              </w:rPr>
            </w:pPr>
            <w:r>
              <w:rPr>
                <w:rFonts w:ascii="Times New Roman" w:cs="Times New Roman" w:eastAsia="Times New Roman" w:hAnsi="Times New Roman"/>
                <w:sz w:val="15"/>
                <w:szCs w:val="15"/>
                <w:b w:val="1"/>
                <w:bCs w:val="1"/>
                <w:color w:val="auto"/>
              </w:rPr>
              <w:t>Six Months Ended March 31,</w:t>
            </w:r>
          </w:p>
        </w:tc>
        <w:tc>
          <w:tcPr>
            <w:tcW w:w="0" w:type="dxa"/>
            <w:vAlign w:val="bottom"/>
          </w:tcPr>
          <w:p>
            <w:pPr>
              <w:spacing w:after="0"/>
              <w:rPr>
                <w:sz w:val="1"/>
                <w:szCs w:val="1"/>
                <w:color w:val="auto"/>
              </w:rPr>
            </w:pPr>
          </w:p>
        </w:tc>
      </w:tr>
      <w:tr>
        <w:trPr>
          <w:trHeight w:val="132"/>
        </w:trPr>
        <w:tc>
          <w:tcPr>
            <w:tcW w:w="2840" w:type="dxa"/>
            <w:vAlign w:val="bottom"/>
            <w:gridSpan w:val="3"/>
            <w:vMerge w:val="continue"/>
          </w:tcPr>
          <w:p>
            <w:pPr>
              <w:spacing w:after="0"/>
              <w:rPr>
                <w:sz w:val="11"/>
                <w:szCs w:val="11"/>
                <w:color w:val="auto"/>
              </w:rPr>
            </w:pPr>
          </w:p>
        </w:tc>
        <w:tc>
          <w:tcPr>
            <w:tcW w:w="4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60" w:type="dxa"/>
            <w:vAlign w:val="bottom"/>
          </w:tcPr>
          <w:p>
            <w:pPr>
              <w:jc w:val="right"/>
              <w:ind w:right="805"/>
              <w:spacing w:after="0" w:line="12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tcPr>
          <w:p>
            <w:pPr>
              <w:jc w:val="right"/>
              <w:ind w:right="785"/>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9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Net income</w:t>
            </w:r>
          </w:p>
        </w:tc>
        <w:tc>
          <w:tcPr>
            <w:tcW w:w="1920" w:type="dxa"/>
            <w:vAlign w:val="bottom"/>
            <w:gridSpan w:val="2"/>
            <w:vMerge w:val="restart"/>
          </w:tcPr>
          <w:p>
            <w:pPr>
              <w:spacing w:after="0"/>
              <w:rPr>
                <w:sz w:val="2"/>
                <w:szCs w:val="2"/>
                <w:color w:val="auto"/>
              </w:rPr>
            </w:pPr>
          </w:p>
        </w:tc>
        <w:tc>
          <w:tcPr>
            <w:tcW w:w="4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Pr>
          <w:p>
            <w:pPr>
              <w:jc w:val="right"/>
              <w:ind w:right="28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45"/>
              <w:spacing w:after="0" w:line="169" w:lineRule="exact"/>
              <w:rPr>
                <w:sz w:val="20"/>
                <w:szCs w:val="20"/>
                <w:color w:val="auto"/>
              </w:rPr>
            </w:pPr>
            <w:r>
              <w:rPr>
                <w:rFonts w:ascii="Times New Roman" w:cs="Times New Roman" w:eastAsia="Times New Roman" w:hAnsi="Times New Roman"/>
                <w:sz w:val="15"/>
                <w:szCs w:val="15"/>
                <w:color w:val="auto"/>
              </w:rPr>
              <w:t>144,073</w:t>
            </w:r>
          </w:p>
        </w:tc>
        <w:tc>
          <w:tcPr>
            <w:tcW w:w="120" w:type="dxa"/>
            <w:vAlign w:val="bottom"/>
          </w:tcPr>
          <w:p>
            <w:pPr>
              <w:spacing w:after="0"/>
              <w:rPr>
                <w:sz w:val="14"/>
                <w:szCs w:val="14"/>
                <w:color w:val="auto"/>
              </w:rPr>
            </w:pPr>
          </w:p>
        </w:tc>
        <w:tc>
          <w:tcPr>
            <w:tcW w:w="480" w:type="dxa"/>
            <w:vAlign w:val="bottom"/>
          </w:tcPr>
          <w:p>
            <w:pPr>
              <w:jc w:val="right"/>
              <w:ind w:right="30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ind w:right="45"/>
              <w:spacing w:after="0" w:line="169" w:lineRule="exact"/>
              <w:rPr>
                <w:sz w:val="20"/>
                <w:szCs w:val="20"/>
                <w:color w:val="auto"/>
              </w:rPr>
            </w:pPr>
            <w:r>
              <w:rPr>
                <w:rFonts w:ascii="Times New Roman" w:cs="Times New Roman" w:eastAsia="Times New Roman" w:hAnsi="Times New Roman"/>
                <w:sz w:val="15"/>
                <w:szCs w:val="15"/>
                <w:color w:val="auto"/>
              </w:rPr>
              <w:t>118,795</w:t>
            </w:r>
          </w:p>
        </w:tc>
        <w:tc>
          <w:tcPr>
            <w:tcW w:w="0" w:type="dxa"/>
            <w:vAlign w:val="bottom"/>
          </w:tcPr>
          <w:p>
            <w:pPr>
              <w:spacing w:after="0"/>
              <w:rPr>
                <w:sz w:val="1"/>
                <w:szCs w:val="1"/>
                <w:color w:val="auto"/>
              </w:rPr>
            </w:pPr>
          </w:p>
        </w:tc>
      </w:tr>
      <w:tr>
        <w:trPr>
          <w:trHeight w:val="189"/>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Plus:</w:t>
            </w:r>
          </w:p>
        </w:tc>
        <w:tc>
          <w:tcPr>
            <w:tcW w:w="4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4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58,857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47,791</w:t>
            </w:r>
          </w:p>
        </w:tc>
        <w:tc>
          <w:tcPr>
            <w:tcW w:w="0" w:type="dxa"/>
            <w:vAlign w:val="bottom"/>
          </w:tcPr>
          <w:p>
            <w:pPr>
              <w:spacing w:after="0"/>
              <w:rPr>
                <w:sz w:val="1"/>
                <w:szCs w:val="1"/>
                <w:color w:val="auto"/>
              </w:rPr>
            </w:pPr>
          </w:p>
        </w:tc>
      </w:tr>
      <w:tr>
        <w:trPr>
          <w:trHeight w:val="189"/>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4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527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530</w:t>
            </w:r>
          </w:p>
        </w:tc>
        <w:tc>
          <w:tcPr>
            <w:tcW w:w="0" w:type="dxa"/>
            <w:vAlign w:val="bottom"/>
          </w:tcPr>
          <w:p>
            <w:pPr>
              <w:spacing w:after="0"/>
              <w:rPr>
                <w:sz w:val="1"/>
                <w:szCs w:val="1"/>
                <w:color w:val="auto"/>
              </w:rPr>
            </w:pPr>
          </w:p>
        </w:tc>
      </w:tr>
      <w:tr>
        <w:trPr>
          <w:trHeight w:val="189"/>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4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7,962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7,475</w:t>
            </w:r>
          </w:p>
        </w:tc>
        <w:tc>
          <w:tcPr>
            <w:tcW w:w="0" w:type="dxa"/>
            <w:vAlign w:val="bottom"/>
          </w:tcPr>
          <w:p>
            <w:pPr>
              <w:spacing w:after="0"/>
              <w:rPr>
                <w:sz w:val="1"/>
                <w:szCs w:val="1"/>
                <w:color w:val="auto"/>
              </w:rPr>
            </w:pPr>
          </w:p>
        </w:tc>
      </w:tr>
      <w:tr>
        <w:trPr>
          <w:trHeight w:val="197"/>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4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17,040</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16,815</w:t>
            </w:r>
          </w:p>
        </w:tc>
        <w:tc>
          <w:tcPr>
            <w:tcW w:w="0" w:type="dxa"/>
            <w:vAlign w:val="bottom"/>
          </w:tcPr>
          <w:p>
            <w:pPr>
              <w:spacing w:after="0"/>
              <w:rPr>
                <w:sz w:val="1"/>
                <w:szCs w:val="1"/>
                <w:color w:val="auto"/>
              </w:rPr>
            </w:pPr>
          </w:p>
        </w:tc>
      </w:tr>
      <w:tr>
        <w:trPr>
          <w:trHeight w:val="171"/>
        </w:trPr>
        <w:tc>
          <w:tcPr>
            <w:tcW w:w="2840" w:type="dxa"/>
            <w:vAlign w:val="bottom"/>
            <w:gridSpan w:val="3"/>
          </w:tcPr>
          <w:p>
            <w:pPr>
              <w:spacing w:after="0" w:line="171" w:lineRule="exact"/>
              <w:rPr>
                <w:sz w:val="20"/>
                <w:szCs w:val="20"/>
                <w:color w:val="auto"/>
              </w:rPr>
            </w:pPr>
            <w:r>
              <w:rPr>
                <w:rFonts w:ascii="Times New Roman" w:cs="Times New Roman" w:eastAsia="Times New Roman" w:hAnsi="Times New Roman"/>
                <w:sz w:val="15"/>
                <w:szCs w:val="15"/>
                <w:color w:val="auto"/>
              </w:rPr>
              <w:t>EBITDA</w:t>
            </w:r>
          </w:p>
        </w:tc>
        <w:tc>
          <w:tcPr>
            <w:tcW w:w="4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228,459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191,406</w:t>
            </w:r>
          </w:p>
        </w:tc>
        <w:tc>
          <w:tcPr>
            <w:tcW w:w="0" w:type="dxa"/>
            <w:vAlign w:val="bottom"/>
          </w:tcPr>
          <w:p>
            <w:pPr>
              <w:spacing w:after="0"/>
              <w:rPr>
                <w:sz w:val="1"/>
                <w:szCs w:val="1"/>
                <w:color w:val="auto"/>
              </w:rPr>
            </w:pPr>
          </w:p>
        </w:tc>
      </w:tr>
      <w:tr>
        <w:trPr>
          <w:trHeight w:val="197"/>
        </w:trPr>
        <w:tc>
          <w:tcPr>
            <w:tcW w:w="76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(Increase) / decrease in the fair value of derivative instruments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(21,417)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(11,359)</w:t>
            </w:r>
          </w:p>
        </w:tc>
        <w:tc>
          <w:tcPr>
            <w:tcW w:w="0" w:type="dxa"/>
            <w:vAlign w:val="bottom"/>
          </w:tcPr>
          <w:p>
            <w:pPr>
              <w:spacing w:after="0"/>
              <w:rPr>
                <w:sz w:val="1"/>
                <w:szCs w:val="1"/>
                <w:color w:val="auto"/>
              </w:rPr>
            </w:pPr>
          </w:p>
        </w:tc>
      </w:tr>
      <w:tr>
        <w:trPr>
          <w:trHeight w:val="167"/>
        </w:trPr>
        <w:tc>
          <w:tcPr>
            <w:tcW w:w="2840" w:type="dxa"/>
            <w:vAlign w:val="bottom"/>
            <w:gridSpan w:val="3"/>
          </w:tcPr>
          <w:p>
            <w:pPr>
              <w:spacing w:after="0" w:line="167" w:lineRule="exact"/>
              <w:rPr>
                <w:sz w:val="20"/>
                <w:szCs w:val="20"/>
                <w:color w:val="auto"/>
              </w:rPr>
            </w:pPr>
            <w:r>
              <w:rPr>
                <w:rFonts w:ascii="Times New Roman" w:cs="Times New Roman" w:eastAsia="Times New Roman" w:hAnsi="Times New Roman"/>
                <w:sz w:val="15"/>
                <w:szCs w:val="15"/>
                <w:color w:val="auto"/>
              </w:rPr>
              <w:t>Adjusted EBITDA</w:t>
            </w:r>
          </w:p>
        </w:tc>
        <w:tc>
          <w:tcPr>
            <w:tcW w:w="42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45"/>
              <w:spacing w:after="0" w:line="167" w:lineRule="exact"/>
              <w:rPr>
                <w:sz w:val="20"/>
                <w:szCs w:val="20"/>
                <w:color w:val="auto"/>
              </w:rPr>
            </w:pPr>
            <w:r>
              <w:rPr>
                <w:rFonts w:ascii="Times New Roman" w:cs="Times New Roman" w:eastAsia="Times New Roman" w:hAnsi="Times New Roman"/>
                <w:sz w:val="15"/>
                <w:szCs w:val="15"/>
                <w:color w:val="auto"/>
              </w:rPr>
              <w:t>207,042</w:t>
            </w:r>
          </w:p>
        </w:tc>
        <w:tc>
          <w:tcPr>
            <w:tcW w:w="1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45"/>
              <w:spacing w:after="0" w:line="167" w:lineRule="exact"/>
              <w:rPr>
                <w:sz w:val="20"/>
                <w:szCs w:val="20"/>
                <w:color w:val="auto"/>
              </w:rPr>
            </w:pPr>
            <w:r>
              <w:rPr>
                <w:rFonts w:ascii="Times New Roman" w:cs="Times New Roman" w:eastAsia="Times New Roman" w:hAnsi="Times New Roman"/>
                <w:sz w:val="15"/>
                <w:szCs w:val="15"/>
                <w:color w:val="auto"/>
              </w:rPr>
              <w:t>180,047</w:t>
            </w:r>
          </w:p>
        </w:tc>
        <w:tc>
          <w:tcPr>
            <w:tcW w:w="0" w:type="dxa"/>
            <w:vAlign w:val="bottom"/>
          </w:tcPr>
          <w:p>
            <w:pPr>
              <w:spacing w:after="0"/>
              <w:rPr>
                <w:sz w:val="1"/>
                <w:szCs w:val="1"/>
                <w:color w:val="auto"/>
              </w:rPr>
            </w:pPr>
          </w:p>
        </w:tc>
      </w:tr>
      <w:tr>
        <w:trPr>
          <w:trHeight w:val="164"/>
        </w:trPr>
        <w:tc>
          <w:tcPr>
            <w:tcW w:w="1040" w:type="dxa"/>
            <w:vAlign w:val="bottom"/>
            <w:tcBorders>
              <w:bottom w:val="single" w:sz="8" w:color="auto"/>
            </w:tcBorders>
            <w:gridSpan w:val="2"/>
          </w:tcPr>
          <w:p>
            <w:pPr>
              <w:spacing w:after="0" w:line="164" w:lineRule="exact"/>
              <w:rPr>
                <w:sz w:val="20"/>
                <w:szCs w:val="20"/>
                <w:color w:val="auto"/>
              </w:rPr>
            </w:pPr>
            <w:r>
              <w:rPr>
                <w:rFonts w:ascii="Times New Roman" w:cs="Times New Roman" w:eastAsia="Times New Roman" w:hAnsi="Times New Roman"/>
                <w:sz w:val="15"/>
                <w:szCs w:val="15"/>
                <w:b w:val="1"/>
                <w:bCs w:val="1"/>
                <w:color w:val="auto"/>
                <w:w w:val="99"/>
              </w:rPr>
              <w:t>Add / (subtract)</w:t>
            </w:r>
          </w:p>
        </w:tc>
        <w:tc>
          <w:tcPr>
            <w:tcW w:w="1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4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(58,857)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(47,791)</w:t>
            </w:r>
          </w:p>
        </w:tc>
        <w:tc>
          <w:tcPr>
            <w:tcW w:w="0" w:type="dxa"/>
            <w:vAlign w:val="bottom"/>
          </w:tcPr>
          <w:p>
            <w:pPr>
              <w:spacing w:after="0"/>
              <w:rPr>
                <w:sz w:val="1"/>
                <w:szCs w:val="1"/>
                <w:color w:val="auto"/>
              </w:rPr>
            </w:pPr>
          </w:p>
        </w:tc>
      </w:tr>
      <w:tr>
        <w:trPr>
          <w:trHeight w:val="189"/>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4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(7,962)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(7,475)</w:t>
            </w:r>
          </w:p>
        </w:tc>
        <w:tc>
          <w:tcPr>
            <w:tcW w:w="0" w:type="dxa"/>
            <w:vAlign w:val="bottom"/>
          </w:tcPr>
          <w:p>
            <w:pPr>
              <w:spacing w:after="0"/>
              <w:rPr>
                <w:sz w:val="1"/>
                <w:szCs w:val="1"/>
                <w:color w:val="auto"/>
              </w:rPr>
            </w:pPr>
          </w:p>
        </w:tc>
      </w:tr>
      <w:tr>
        <w:trPr>
          <w:trHeight w:val="189"/>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Provision for losses on accounts receivable</w:t>
            </w:r>
          </w:p>
        </w:tc>
        <w:tc>
          <w:tcPr>
            <w:tcW w:w="4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2,804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3,169</w:t>
            </w:r>
          </w:p>
        </w:tc>
        <w:tc>
          <w:tcPr>
            <w:tcW w:w="0" w:type="dxa"/>
            <w:vAlign w:val="bottom"/>
          </w:tcPr>
          <w:p>
            <w:pPr>
              <w:spacing w:after="0"/>
              <w:rPr>
                <w:sz w:val="1"/>
                <w:szCs w:val="1"/>
                <w:color w:val="auto"/>
              </w:rPr>
            </w:pPr>
          </w:p>
        </w:tc>
      </w:tr>
      <w:tr>
        <w:trPr>
          <w:trHeight w:val="189"/>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Increase in accounts receivables</w:t>
            </w:r>
          </w:p>
        </w:tc>
        <w:tc>
          <w:tcPr>
            <w:tcW w:w="4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(162,868)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(124,722)</w:t>
            </w:r>
          </w:p>
        </w:tc>
        <w:tc>
          <w:tcPr>
            <w:tcW w:w="0" w:type="dxa"/>
            <w:vAlign w:val="bottom"/>
          </w:tcPr>
          <w:p>
            <w:pPr>
              <w:spacing w:after="0"/>
              <w:rPr>
                <w:sz w:val="1"/>
                <w:szCs w:val="1"/>
                <w:color w:val="auto"/>
              </w:rPr>
            </w:pPr>
          </w:p>
        </w:tc>
      </w:tr>
      <w:tr>
        <w:trPr>
          <w:trHeight w:val="189"/>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Increase in inventories</w:t>
            </w:r>
          </w:p>
        </w:tc>
        <w:tc>
          <w:tcPr>
            <w:tcW w:w="4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(33,777)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(22,150)</w:t>
            </w:r>
          </w:p>
        </w:tc>
        <w:tc>
          <w:tcPr>
            <w:tcW w:w="0" w:type="dxa"/>
            <w:vAlign w:val="bottom"/>
          </w:tcPr>
          <w:p>
            <w:pPr>
              <w:spacing w:after="0"/>
              <w:rPr>
                <w:sz w:val="1"/>
                <w:szCs w:val="1"/>
                <w:color w:val="auto"/>
              </w:rPr>
            </w:pPr>
          </w:p>
        </w:tc>
      </w:tr>
      <w:tr>
        <w:trPr>
          <w:trHeight w:val="189"/>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Decrease in customer credit balances</w:t>
            </w:r>
          </w:p>
        </w:tc>
        <w:tc>
          <w:tcPr>
            <w:tcW w:w="4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(57,304)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(61,400)</w:t>
            </w:r>
          </w:p>
        </w:tc>
        <w:tc>
          <w:tcPr>
            <w:tcW w:w="0" w:type="dxa"/>
            <w:vAlign w:val="bottom"/>
          </w:tcPr>
          <w:p>
            <w:pPr>
              <w:spacing w:after="0"/>
              <w:rPr>
                <w:sz w:val="1"/>
                <w:szCs w:val="1"/>
                <w:color w:val="auto"/>
              </w:rPr>
            </w:pPr>
          </w:p>
        </w:tc>
      </w:tr>
      <w:tr>
        <w:trPr>
          <w:trHeight w:val="189"/>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Change in deferred taxes</w:t>
            </w:r>
          </w:p>
        </w:tc>
        <w:tc>
          <w:tcPr>
            <w:tcW w:w="4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14,163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11,404</w:t>
            </w:r>
          </w:p>
        </w:tc>
        <w:tc>
          <w:tcPr>
            <w:tcW w:w="0" w:type="dxa"/>
            <w:vAlign w:val="bottom"/>
          </w:tcPr>
          <w:p>
            <w:pPr>
              <w:spacing w:after="0"/>
              <w:rPr>
                <w:sz w:val="1"/>
                <w:szCs w:val="1"/>
                <w:color w:val="auto"/>
              </w:rPr>
            </w:pPr>
          </w:p>
        </w:tc>
      </w:tr>
      <w:tr>
        <w:trPr>
          <w:trHeight w:val="197"/>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Change in other operating assets and liabilities</w:t>
            </w:r>
          </w:p>
        </w:tc>
        <w:tc>
          <w:tcPr>
            <w:tcW w:w="4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35,682</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52,959</w:t>
            </w:r>
          </w:p>
        </w:tc>
        <w:tc>
          <w:tcPr>
            <w:tcW w:w="0" w:type="dxa"/>
            <w:vAlign w:val="bottom"/>
          </w:tcPr>
          <w:p>
            <w:pPr>
              <w:spacing w:after="0"/>
              <w:rPr>
                <w:sz w:val="1"/>
                <w:szCs w:val="1"/>
                <w:color w:val="auto"/>
              </w:rPr>
            </w:pPr>
          </w:p>
        </w:tc>
      </w:tr>
      <w:tr>
        <w:trPr>
          <w:trHeight w:val="180"/>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4280" w:type="dxa"/>
            <w:vAlign w:val="bottom"/>
          </w:tcPr>
          <w:p>
            <w:pPr>
              <w:spacing w:after="0"/>
              <w:rPr>
                <w:sz w:val="15"/>
                <w:szCs w:val="15"/>
                <w:color w:val="auto"/>
              </w:rPr>
            </w:pPr>
          </w:p>
        </w:tc>
        <w:tc>
          <w:tcPr>
            <w:tcW w:w="4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(61,077)</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(15,959)</w:t>
            </w: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47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40" w:type="dxa"/>
            <w:vAlign w:val="bottom"/>
            <w:gridSpan w:val="3"/>
            <w:vMerge w:val="continue"/>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284"/>
              <w:spacing w:after="0" w:line="167" w:lineRule="exact"/>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(9,819)</w:t>
            </w:r>
          </w:p>
        </w:tc>
        <w:tc>
          <w:tcPr>
            <w:tcW w:w="1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04"/>
              <w:spacing w:after="0" w:line="167" w:lineRule="exact"/>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(86,407)</w:t>
            </w: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47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40" w:type="dxa"/>
            <w:vAlign w:val="bottom"/>
            <w:gridSpan w:val="3"/>
            <w:vMerge w:val="continue"/>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284"/>
              <w:spacing w:after="0" w:line="167" w:lineRule="exact"/>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bottom w:val="single" w:sz="8" w:color="auto"/>
            </w:tcBorders>
          </w:tcPr>
          <w:p>
            <w:pPr>
              <w:jc w:val="right"/>
              <w:ind w:right="45"/>
              <w:spacing w:after="0" w:line="167" w:lineRule="exact"/>
              <w:rPr>
                <w:sz w:val="20"/>
                <w:szCs w:val="20"/>
                <w:color w:val="auto"/>
              </w:rPr>
            </w:pPr>
            <w:r>
              <w:rPr>
                <w:rFonts w:ascii="Times New Roman" w:cs="Times New Roman" w:eastAsia="Times New Roman" w:hAnsi="Times New Roman"/>
                <w:sz w:val="15"/>
                <w:szCs w:val="15"/>
                <w:color w:val="auto"/>
              </w:rPr>
              <w:t>58,403</w:t>
            </w:r>
          </w:p>
        </w:tc>
        <w:tc>
          <w:tcPr>
            <w:tcW w:w="1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04"/>
              <w:spacing w:after="0" w:line="167" w:lineRule="exact"/>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bottom w:val="single" w:sz="8" w:color="auto"/>
            </w:tcBorders>
          </w:tcPr>
          <w:p>
            <w:pPr>
              <w:jc w:val="right"/>
              <w:ind w:right="45"/>
              <w:spacing w:after="0" w:line="167" w:lineRule="exact"/>
              <w:rPr>
                <w:sz w:val="20"/>
                <w:szCs w:val="20"/>
                <w:color w:val="auto"/>
              </w:rPr>
            </w:pPr>
            <w:r>
              <w:rPr>
                <w:rFonts w:ascii="Times New Roman" w:cs="Times New Roman" w:eastAsia="Times New Roman" w:hAnsi="Times New Roman"/>
                <w:sz w:val="15"/>
                <w:szCs w:val="15"/>
                <w:color w:val="auto"/>
              </w:rPr>
              <w:t>3,533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Home heating oil and propane gallons sold</w:t>
            </w:r>
          </w:p>
        </w:tc>
        <w:tc>
          <w:tcPr>
            <w:tcW w:w="4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238,400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226,300</w:t>
            </w:r>
          </w:p>
        </w:tc>
        <w:tc>
          <w:tcPr>
            <w:tcW w:w="0" w:type="dxa"/>
            <w:vAlign w:val="bottom"/>
          </w:tcPr>
          <w:p>
            <w:pPr>
              <w:spacing w:after="0"/>
              <w:rPr>
                <w:sz w:val="1"/>
                <w:szCs w:val="1"/>
                <w:color w:val="auto"/>
              </w:rPr>
            </w:pPr>
          </w:p>
        </w:tc>
      </w:tr>
      <w:tr>
        <w:trPr>
          <w:trHeight w:val="197"/>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Other petroleum products</w:t>
            </w:r>
          </w:p>
        </w:tc>
        <w:tc>
          <w:tcPr>
            <w:tcW w:w="4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56,600</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59,600</w:t>
            </w:r>
          </w:p>
        </w:tc>
        <w:tc>
          <w:tcPr>
            <w:tcW w:w="0" w:type="dxa"/>
            <w:vAlign w:val="bottom"/>
          </w:tcPr>
          <w:p>
            <w:pPr>
              <w:spacing w:after="0"/>
              <w:rPr>
                <w:sz w:val="1"/>
                <w:szCs w:val="1"/>
                <w:color w:val="auto"/>
              </w:rPr>
            </w:pPr>
          </w:p>
        </w:tc>
      </w:tr>
      <w:tr>
        <w:trPr>
          <w:trHeight w:val="180"/>
        </w:trPr>
        <w:tc>
          <w:tcPr>
            <w:tcW w:w="284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Total all products</w:t>
            </w:r>
          </w:p>
        </w:tc>
        <w:tc>
          <w:tcPr>
            <w:tcW w:w="42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295,000</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285,900</w:t>
            </w: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CONTACT:</w:t>
            </w:r>
          </w:p>
        </w:tc>
        <w:tc>
          <w:tcPr>
            <w:tcW w:w="4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2840" w:type="dxa"/>
            <w:vAlign w:val="bottom"/>
            <w:gridSpan w:val="3"/>
            <w:vMerge w:val="continue"/>
          </w:tcPr>
          <w:p>
            <w:pPr>
              <w:spacing w:after="0"/>
              <w:rPr>
                <w:sz w:val="24"/>
                <w:szCs w:val="24"/>
                <w:color w:val="auto"/>
              </w:rPr>
            </w:pPr>
          </w:p>
        </w:tc>
        <w:tc>
          <w:tcPr>
            <w:tcW w:w="4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Star Group, L.P.</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Chris Witty</w:t>
            </w: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Investor Relations</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Darrow Associates</w:t>
            </w: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203/328-7310</w:t>
            </w: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646/438-9385 or cwitty@darrowir.com</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1" w:right="29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2026-05-06T15:37:34Z</dcterms:created>
  <dcterms:modified xsi:type="dcterms:W3CDTF">2026-05-06T15:37:34Z</dcterms:modified>
</cp:coreProperties>
</file>