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001-14129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STAR GROUP, L.P.</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06-1437793</w:t>
            </w:r>
          </w:p>
        </w:tc>
      </w:tr>
      <w:tr>
        <w:trPr>
          <w:trHeight w:val="148"/>
        </w:trPr>
        <w:tc>
          <w:tcPr>
            <w:tcW w:w="418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9 West Broad Street</w:t>
            </w:r>
          </w:p>
        </w:tc>
        <w:tc>
          <w:tcPr>
            <w:tcW w:w="3160" w:type="dxa"/>
            <w:vAlign w:val="bottom"/>
          </w:tcPr>
          <w:p>
            <w:pPr>
              <w:spacing w:after="0"/>
              <w:rPr>
                <w:sz w:val="24"/>
                <w:szCs w:val="24"/>
                <w:color w:val="auto"/>
              </w:rPr>
            </w:pPr>
          </w:p>
        </w:tc>
      </w:tr>
      <w:tr>
        <w:trPr>
          <w:trHeight w:val="227"/>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190"/>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1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(203) 328-7310</w:t>
      </w:r>
    </w:p>
    <w:p>
      <w:pPr>
        <w:spacing w:after="0" w:line="136"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Common Units</w:t>
            </w:r>
          </w:p>
        </w:tc>
        <w:tc>
          <w:tcPr>
            <w:tcW w:w="1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SGU</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33"/>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Unit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 accelerated filer</w:t>
            </w:r>
          </w:p>
        </w:tc>
        <w:tc>
          <w:tcPr>
            <w:tcW w:w="32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60"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At January 31, 2026, the registrant had 32,879,055 Common Units outstanding</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60" w:type="dxa"/>
            <w:vAlign w:val="bottom"/>
            <w:gridSpan w:val="2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00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Item 1 - Condensed Consolidated Financial Statements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December 31, 2025 (unaudited) and September 30, 2025</w:t>
            </w:r>
          </w:p>
        </w:tc>
        <w:tc>
          <w:tcPr>
            <w:tcW w:w="20" w:type="dxa"/>
            <w:vAlign w:val="bottom"/>
            <w:tcBorders>
              <w:bottom w:val="single" w:sz="8" w:color="0000EE"/>
            </w:tcBorders>
          </w:tcPr>
          <w:p>
            <w:pPr>
              <w:spacing w:after="0"/>
              <w:rPr>
                <w:sz w:val="17"/>
                <w:szCs w:val="17"/>
                <w:color w:val="auto"/>
              </w:rPr>
            </w:pPr>
          </w:p>
        </w:tc>
        <w:tc>
          <w:tcPr>
            <w:tcW w:w="25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December 31, 2025 and December 31, 2024</w:t>
            </w:r>
          </w:p>
        </w:tc>
        <w:tc>
          <w:tcPr>
            <w:tcW w:w="2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97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 for the three months ended December 31, 2025 and</w:t>
            </w:r>
          </w:p>
        </w:tc>
        <w:tc>
          <w:tcPr>
            <w:tcW w:w="240" w:type="dxa"/>
            <w:vAlign w:val="bottom"/>
            <w:gridSpan w:val="2"/>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December 31, 2024</w:t>
            </w:r>
          </w:p>
        </w:tc>
        <w:tc>
          <w:tcPr>
            <w:tcW w:w="20" w:type="dxa"/>
            <w:vAlign w:val="bottom"/>
            <w:tcBorders>
              <w:bottom w:val="single" w:sz="8" w:color="0000EE"/>
            </w:tcBorders>
          </w:tcPr>
          <w:p>
            <w:pPr>
              <w:spacing w:after="0"/>
              <w:rPr>
                <w:sz w:val="17"/>
                <w:szCs w:val="17"/>
                <w:color w:val="auto"/>
              </w:rPr>
            </w:pPr>
          </w:p>
        </w:tc>
        <w:tc>
          <w:tcPr>
            <w:tcW w:w="8320" w:type="dxa"/>
            <w:vAlign w:val="bottom"/>
            <w:gridSpan w:val="16"/>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7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Partners’ Capital (unaudited) for the three months ended December 31, 2025 and December 31,</w:t>
            </w:r>
          </w:p>
        </w:tc>
        <w:tc>
          <w:tcPr>
            <w:tcW w:w="260" w:type="dxa"/>
            <w:vAlign w:val="bottom"/>
            <w:gridSpan w:val="3"/>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gridSpan w:val="3"/>
          </w:tcPr>
          <w:p>
            <w:pPr>
              <w:ind w:left="700"/>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three months ended December 31, 2025 and December 31, 2024</w:t>
            </w: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8"/>
                <w:szCs w:val="18"/>
                <w:color w:val="auto"/>
              </w:rPr>
            </w:pPr>
          </w:p>
        </w:tc>
        <w:tc>
          <w:tcPr>
            <w:tcW w:w="51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0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9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 Quantitative and Qualitative Disclosures About Market Risk</w:t>
            </w:r>
          </w:p>
        </w:tc>
        <w:tc>
          <w:tcPr>
            <w:tcW w:w="2100" w:type="dxa"/>
            <w:vAlign w:val="bottom"/>
            <w:tcBorders>
              <w:top w:val="single" w:sz="8" w:color="0000FF"/>
            </w:tcBorders>
          </w:tcPr>
          <w:p>
            <w:pPr>
              <w:spacing w:after="0"/>
              <w:rPr>
                <w:sz w:val="18"/>
                <w:szCs w:val="18"/>
                <w:color w:val="auto"/>
              </w:rPr>
            </w:pPr>
          </w:p>
        </w:tc>
        <w:tc>
          <w:tcPr>
            <w:tcW w:w="292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76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2"/>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6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Item 1 - Legal Proceedings</w:t>
            </w:r>
          </w:p>
        </w:tc>
        <w:tc>
          <w:tcPr>
            <w:tcW w:w="8040" w:type="dxa"/>
            <w:vAlign w:val="bottom"/>
            <w:gridSpan w:val="13"/>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20" w:type="dxa"/>
            <w:vAlign w:val="bottom"/>
            <w:tcBorders>
              <w:bottom w:val="single" w:sz="8" w:color="0000EE"/>
            </w:tcBorders>
          </w:tcPr>
          <w:p>
            <w:pPr>
              <w:spacing w:after="0"/>
              <w:rPr>
                <w:sz w:val="18"/>
                <w:szCs w:val="18"/>
                <w:color w:val="auto"/>
              </w:rPr>
            </w:pPr>
          </w:p>
        </w:tc>
        <w:tc>
          <w:tcPr>
            <w:tcW w:w="83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2 - Unregistered Sale of Equity Securities and Use of Proceeds</w:t>
            </w:r>
          </w:p>
        </w:tc>
        <w:tc>
          <w:tcPr>
            <w:tcW w:w="51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0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 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4 - Mine Safety Disclosures</w:t>
            </w:r>
          </w:p>
        </w:tc>
        <w:tc>
          <w:tcPr>
            <w:tcW w:w="540" w:type="dxa"/>
            <w:vAlign w:val="bottom"/>
            <w:tcBorders>
              <w:top w:val="single" w:sz="8" w:color="0000FF"/>
            </w:tcBorders>
          </w:tcPr>
          <w:p>
            <w:pPr>
              <w:spacing w:after="0"/>
              <w:rPr>
                <w:sz w:val="18"/>
                <w:szCs w:val="18"/>
                <w:color w:val="auto"/>
              </w:rPr>
            </w:pPr>
          </w:p>
        </w:tc>
        <w:tc>
          <w:tcPr>
            <w:tcW w:w="70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 Other Information</w:t>
            </w:r>
          </w:p>
        </w:tc>
        <w:tc>
          <w:tcPr>
            <w:tcW w:w="80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0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 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7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709"/>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6320" w:type="dxa"/>
            <w:vAlign w:val="bottom"/>
            <w:gridSpan w:val="13"/>
          </w:tcPr>
          <w:p>
            <w:pPr>
              <w:jc w:val="right"/>
              <w:ind w:right="18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4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 of $7,164 and $7,196, respectively</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Captive insurance collateral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1,054,029</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54,551</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credit balances</w:t>
            </w:r>
          </w:p>
        </w:tc>
        <w:tc>
          <w:tcPr>
            <w:tcW w:w="1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441,725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unitholders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partner</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(11,061)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10"/>
        </w:trPr>
        <w:tc>
          <w:tcPr>
            <w:tcW w:w="6280" w:type="dxa"/>
            <w:vAlign w:val="bottom"/>
            <w:tcBorders>
              <w:top w:val="single" w:sz="8" w:color="CFF0FC"/>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partners’ capital</w:t>
            </w:r>
          </w:p>
        </w:tc>
        <w:tc>
          <w:tcPr>
            <w:tcW w:w="14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321,847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296,780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1,054,029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-4225290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 - unaudited)</w:t>
            </w:r>
          </w:p>
        </w:tc>
        <w:tc>
          <w:tcPr>
            <w:tcW w:w="1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4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447,983</w:t>
            </w:r>
          </w:p>
        </w:tc>
        <w:tc>
          <w:tcPr>
            <w:tcW w:w="80" w:type="dxa"/>
            <w:vAlign w:val="bottom"/>
          </w:tcPr>
          <w:p>
            <w:pPr>
              <w:spacing w:after="0"/>
              <w:rPr>
                <w:sz w:val="18"/>
                <w:szCs w:val="18"/>
                <w:color w:val="auto"/>
              </w:rPr>
            </w:pPr>
          </w:p>
        </w:tc>
        <w:tc>
          <w:tcPr>
            <w:tcW w:w="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1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91,273</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sales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product</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installations and services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109,937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charge income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17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9"/>
        </w:trPr>
        <w:tc>
          <w:tcPr>
            <w:tcW w:w="6360" w:type="dxa"/>
            <w:vAlign w:val="bottom"/>
            <w:tcBorders>
              <w:top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80" w:type="dxa"/>
            <w:vAlign w:val="bottom"/>
          </w:tcPr>
          <w:p>
            <w:pPr>
              <w:spacing w:after="0"/>
              <w:rPr>
                <w:sz w:val="18"/>
                <w:szCs w:val="18"/>
                <w:color w:val="auto"/>
              </w:rPr>
            </w:pPr>
          </w:p>
        </w:tc>
        <w:tc>
          <w:tcPr>
            <w:tcW w:w="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1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80" w:type="dxa"/>
            <w:vAlign w:val="bottom"/>
          </w:tcPr>
          <w:p>
            <w:pPr>
              <w:spacing w:after="0"/>
              <w:rPr>
                <w:sz w:val="18"/>
                <w:szCs w:val="18"/>
                <w:color w:val="auto"/>
              </w:rPr>
            </w:pPr>
          </w:p>
        </w:tc>
        <w:tc>
          <w:tcPr>
            <w:tcW w:w="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spacing w:after="0"/>
              <w:rPr>
                <w:sz w:val="17"/>
                <w:szCs w:val="17"/>
                <w:color w:val="auto"/>
              </w:rPr>
            </w:pPr>
          </w:p>
        </w:tc>
        <w:tc>
          <w:tcPr>
            <w:tcW w:w="344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income per Limited Partner Unit (1):</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8"/>
                <w:szCs w:val="18"/>
                <w:color w:val="auto"/>
              </w:rPr>
            </w:pPr>
          </w:p>
        </w:tc>
        <w:tc>
          <w:tcPr>
            <w:tcW w:w="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-3007995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-1345565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-779780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-471170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Note 15 - Earnings Per Limited Partner Unit.</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320" w:type="dxa"/>
            <w:vAlign w:val="bottom"/>
          </w:tcPr>
          <w:p>
            <w:pPr>
              <w:spacing w:after="0"/>
              <w:rPr>
                <w:sz w:val="15"/>
                <w:szCs w:val="15"/>
                <w:color w:val="auto"/>
              </w:rPr>
            </w:pPr>
          </w:p>
        </w:tc>
        <w:tc>
          <w:tcPr>
            <w:tcW w:w="27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22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effect of unrealized gain on captive insurance collateral</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(loss) gain on interest rate hedges</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effect of unrealized (loss) gain on interest rate hedges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PARTNERS’ CAPITAL</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1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16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1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33,278</w:t>
            </w:r>
          </w:p>
        </w:tc>
        <w:tc>
          <w:tcPr>
            <w:tcW w:w="10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314,733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296,780</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35,790</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350</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67</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captive insurance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interest rate hedges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loss on interest rate hedges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3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 (unaudited)</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32,900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339,568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321,847</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615"/>
        </w:trPr>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1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16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1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34,587</w:t>
            </w:r>
          </w:p>
        </w:tc>
        <w:tc>
          <w:tcPr>
            <w:tcW w:w="10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282,058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263,893</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32,884</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432</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46</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captive insurance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interest rate hedges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gain on interest rate hedges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 (unaudited)</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308,528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291,042</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-2553970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-2536825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-2553970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-2536825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-2553970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-2536825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-2553970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-2536825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-2553970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-2536825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8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 to reconcile net income to net cash provided by (used in)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decrease in fair value of derivative instruments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(Recovery) provision for losses on accounts receivable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deferred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weather hedge contracts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Increase in receivables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(81,476)</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(22,537)</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(26,670)</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(16,263)</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Decrease in customer credit balances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(27,547)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other current and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(55,182)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(64,564)</w:t>
            </w: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certain assets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repayments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repurchases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retainage payments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debt issue costs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(68,543)</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18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-2691130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-1567815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as follows:</w:t>
      </w:r>
    </w:p>
    <w:p>
      <w:pPr>
        <w:spacing w:after="0" w:line="117" w:lineRule="exact"/>
        <w:rPr>
          <w:sz w:val="20"/>
          <w:szCs w:val="20"/>
          <w:color w:val="auto"/>
        </w:rPr>
      </w:pPr>
    </w:p>
    <w:p>
      <w:pPr>
        <w:ind w:left="1040" w:hanging="523"/>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is a limited partnership, which at December 31, 2025, had outstanding 32.9 million Common Units (NYSE: “SGU”), representing a</w:t>
      </w:r>
    </w:p>
    <w:p>
      <w:pPr>
        <w:spacing w:after="0" w:line="27" w:lineRule="exact"/>
        <w:rPr>
          <w:rFonts w:ascii="Times New Roman" w:cs="Times New Roman" w:eastAsia="Times New Roman" w:hAnsi="Times New Roman"/>
          <w:sz w:val="18"/>
          <w:szCs w:val="18"/>
          <w:color w:val="auto"/>
        </w:rPr>
      </w:pPr>
    </w:p>
    <w:p>
      <w:pPr>
        <w:ind w:left="10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 limited partner interest in Star, and 0.3 million general partner units, representing a 1.0%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 Although Star is a partnership, it is taxed as a corporation and its distributions to unitholders are treated as taxable dividends.</w:t>
      </w:r>
    </w:p>
    <w:p>
      <w:pPr>
        <w:spacing w:after="0" w:line="80"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December 31, 2025 served approximately 404,900 full service residential and commercial home heating oil and propane accounts and 65,200 accounts on a delivery only basis. We also sell gasoline and diesel fuel to approximately 27,600 accounts. We install, maintain, and repair heating and air conditioning equipment and to a lesser extent provide these services outside our heating oil and propane customer base including approximately 20,400 service contracts for natural gas and other heating systems.</w:t>
      </w:r>
    </w:p>
    <w:p>
      <w:pPr>
        <w:spacing w:after="0" w:line="80"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11—Long-Term Debt and Bank Facility Borrowings).</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Star and its subsidiaries. All material intercompany items and transactions have been eliminated in consolidation.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information included herein is unaudited; however, such information reflects all adjustments (consisting solely of normal recurring adjustments), which are, in the opinion of management, necessary for the fair statement of financial condition and results for the interim periods. Due to the seasonal nature of the Company’s business, the results of operations and cash flows for the three-month period ended December 31, 2025 are not necessarily indicative of the results to be expected for the full year.</w:t>
      </w:r>
    </w:p>
    <w:p>
      <w:pPr>
        <w:spacing w:after="0" w:line="72"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These interim financial statements of the Company have been prepared in accordance with U.S. Generally Accepted Accounting Principles (“GAAP”) for interim financial information and Rule 10-01 of Regulation S-X of the U.S. Securities and Exchange Commission (the “SEC”) and should be read in conjunction with the financial statements included in the Company’s Annual Report on Form 10-K for the year ended September 30,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Other comprehensive income consists of the unrealized gain on amortization on the Company’s pension plan obligation for its frozen defined benefit pension plan, unrealized gain on available-for-sale investments, unrealized gain (loss) on interest rate hedges and the corresponding tax effects.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At December 31, 2025, the $20.1 million of cash, cash equivalents, and restricted cash on the Condensed Consolidated Statements of Cash Flows is composed of $19.9 million of cash and cash equivalents and $0.3 million of restricted cash. At September 30, 2025, the $24.9 million of cash, cash equivalents, and restricted cash on the Condensed Consolidated Statements of Cash Flows is composed of $24.7 million of cash and cash equivalents and $0.3 million of restricted cash. Restricted cash represents deposits held by our captive insurance company that are required by state insurance regulations to remain in the captive insurance company as cash.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Valuation Approach</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0" w:lineRule="exact"/>
        <w:rPr>
          <w:sz w:val="20"/>
          <w:szCs w:val="20"/>
          <w:color w:val="auto"/>
        </w:rPr>
      </w:pPr>
    </w:p>
    <w:p>
      <w:pPr>
        <w:ind w:left="860" w:right="20" w:hanging="665"/>
        <w:spacing w:after="0" w:line="273"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 w:lineRule="exact"/>
        <w:rPr>
          <w:rFonts w:ascii="Times New Roman" w:cs="Times New Roman" w:eastAsia="Times New Roman" w:hAnsi="Times New Roman"/>
          <w:sz w:val="18"/>
          <w:szCs w:val="18"/>
          <w:color w:val="auto"/>
        </w:rPr>
      </w:pPr>
    </w:p>
    <w:p>
      <w:pPr>
        <w:ind w:left="860" w:right="100" w:hanging="665"/>
        <w:spacing w:after="0" w:line="273"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860" w:right="280" w:hanging="665"/>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Captive Insurance Collateral</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captive insurance collateral is held by our captive insurance company in an irrevocable trust as collateral for certain workers’ compensation and automobile liability claims. The collateral is required by a third party insurance carrier that insures per claim amounts above a set deductible. If we did not deposit cash into the trust, the third party carrier would require that we issue an equal amount of letters of credit, which would reduce our availability under the credit agreement. Due to the expected timing of claim payments, the nature of the collateral agreement with the carrier, and our captive insurance company’s source of other operating cash, such as future premiums and earnings on investments, the collateral is not expected to be used to pay obligations within the next twelve months.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Unrealized gains and losses, net of related income taxes, are reported as accumulated other comprehensive income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Hedge Contract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partially mitigate the adverse effect of warm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For each fiscal year under these contracts, the maximum amount the Company could receive is $15.0 million and is additionally obligated to make an annual payment capped at $5.0 million if degree days exceed the Payment Threshold.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temperatures experienced during the hedge period through December 31, 2025, were colder than the strikes in the weather hedge contracts. As a result as of December 31, 2025, we increased delivery and branch expense under those weather hedge contracts by $5.0 million. The final settlement under the weather hedge contracts for fiscal 2026 may differ depending on the actual degree-days recorded in the period from January 1, 2026 through March 31, 2026. As of December 31, 2024, in accordance with ASC 815-45, we did not incur a benefit or expense related to the weather hedge contracts.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New England Teamsters and Trucking Industry Pension Fund (“the NETTI Fund”) Liability</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$0.3 million and $15.2 million included in the captions “Accrued expenses and other current liabilities” and “Other long-term liabilities,” respectively, on our Condensed Consolidated Balance Sheet representing the remaining balance of the NETTI Fund withdrawal liability. As of September 30, 2025, we had $0.3 million and $15.3 million reflected in these categories respectively. Based on the borrowing rates currently available to the Company for long-term financing of a similar maturity, the fair value of the NETTI Fund withdrawal liability as of December 31, 2025, and September 30, 2025, was $18.2 million and $18.3 million, respectively. We utilized Level 2 inputs in the fair value hierarchy of valuation techniques to determine the fair value of this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new Accounting Pronouncements were adopted through the fiscal three months ended December 31,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that an entity, on an annual basis, disclose additional income tax information, primarily related to the rate reconciliation and income taxes paid. The standard is effective for fiscal years beginning after December 15, 2024. Adoption is either with a prospective method or a fully retrospective method of transition. Early adoption is permitted. The Company is currently evaluating the impact of the new standard on its consolidated financial statements and related disclosures.</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requiring disclosure in the notes to the financial statements for specified information about certain costs and expenses. Additionally, in January 2025, the FASB issued ASU 2025-01 to clarify the effective date of ASU 2024-03. The standard is effective for fiscal years beginning after December 15, 2026, and interim periods within annual reporting periods beginning after December 15, 2027, with early adoption and retrospective application permitted. We are currently evaluating the impact of this standard on our consolidated financial statements and related disclosures.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 practical expedient for all entities to simplify the estimation of expected credit losses on current accounts receivable and current contract assets arising from revenue contracts under Topic 606. The standard is effective for fiscal years beginning after December 15, 2025, with early adoption permitted. We are currently evaluating the impact of this standard on our consolidated financial statements and related disclosures.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modernizes the guidance on capitalizing costs for internal-use software by eliminating predefined development stages and introducing a principles-based approach focused on probable completion and use. The standard is effective for fiscal years beginning after December 15, 2027, with early adoption permitted. We are currently evaluating the impact of this standard on our consolidated financial statements and related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disaggregates our revenue by major sources for the three months ended December 31, 2025, and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gridSpan w:val="3"/>
          </w:tcPr>
          <w:p>
            <w:pPr>
              <w:jc w:val="center"/>
              <w:ind w:left="73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left="735"/>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Petroleum Products:</w:t>
            </w:r>
          </w:p>
        </w:tc>
        <w:tc>
          <w:tcPr>
            <w:tcW w:w="2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3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372,557</w:t>
            </w:r>
          </w:p>
        </w:tc>
        <w:tc>
          <w:tcPr>
            <w:tcW w:w="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petroleum products</w:t>
            </w:r>
          </w:p>
        </w:tc>
        <w:tc>
          <w:tcPr>
            <w:tcW w:w="28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75,426</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petroleum products</w:t>
            </w:r>
          </w:p>
        </w:tc>
        <w:tc>
          <w:tcPr>
            <w:tcW w:w="2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447,983</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Installations and Services:</w:t>
            </w:r>
          </w:p>
        </w:tc>
        <w:tc>
          <w:tcPr>
            <w:tcW w:w="2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installations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 maintenance service contracts</w:t>
            </w:r>
          </w:p>
        </w:tc>
        <w:tc>
          <w:tcPr>
            <w:tcW w:w="2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Billable call services</w:t>
            </w:r>
          </w:p>
        </w:tc>
        <w:tc>
          <w:tcPr>
            <w:tcW w:w="2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28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91,273</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539,256</w:t>
            </w:r>
          </w:p>
        </w:tc>
        <w:tc>
          <w:tcPr>
            <w:tcW w:w="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6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-1928495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-1079500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Deferred Contract Costs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December 31, 2025, the amount of deferred contract costs included in “Prepaid expenses and other current assets” and “Deferred charges and other assets, net” was $2.8 million and $4.4 million, respectively. At September 30, 2025, the amount of deferred contract costs included in “Prepaid expenses and other current assets” and “Deferred charges and other assets, net” was $2.8 million and $4.2 million, respectively. For the three months ended December 31, 2025, we recognized expense of $0.8 million and for the three months ended December 31, 2024, we recognized expense of $0.8 million associated with the amortization of deferred contract costs within “Delivery and branch expenses” in the Condensed Consolidated Statement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Liability Balances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Contract liabilities are recognized straight-line over the service contract period, generally one year or less. As of December 31, 2025 and September 30, 2025 the Company had contract liabilities of $133.1 million and $149.7 million, respectively. During the three months ended December 31, 2025, the Company recognized $83.7 million of revenue that was included in the September 30, 2025 contract liability balance. During the three months ended December 31, 2024, the Company recognized $88.9 million of revenue that was included in the September 30, 2024 contract liability balance.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receivables from customers are recorded at the invoiced amounts. Finance charges may be applied to trade receivables that are more than 30 days past due, and are recorded as finance charge income.</w:t>
      </w:r>
    </w:p>
    <w:p>
      <w:pPr>
        <w:spacing w:after="0" w:line="54" w:lineRule="exact"/>
        <w:rPr>
          <w:sz w:val="20"/>
          <w:szCs w:val="20"/>
          <w:color w:val="auto"/>
        </w:rPr>
      </w:pPr>
    </w:p>
    <w:p>
      <w:pPr>
        <w:ind w:right="360" w:firstLine="50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sectPr>
          <w:pgSz w:w="11900" w:h="16838" w:orient="portrait"/>
          <w:cols w:equalWidth="0" w:num="1">
            <w:col w:w="11220"/>
          </w:cols>
          <w:pgMar w:left="320" w:top="1334" w:right="359" w:bottom="1440" w:gutter="0" w:footer="0" w:header="0"/>
        </w:sectPr>
      </w:pPr>
    </w:p>
    <w:p>
      <w:pPr>
        <w:spacing w:after="0" w:line="81" w:lineRule="exact"/>
        <w:rPr>
          <w:sz w:val="20"/>
          <w:szCs w:val="20"/>
          <w:color w:val="auto"/>
        </w:rPr>
      </w:pPr>
    </w:p>
    <w:p>
      <w:pPr>
        <w:jc w:val="right"/>
        <w:ind w:right="2410"/>
        <w:spacing w:after="0"/>
        <w:rPr>
          <w:sz w:val="20"/>
          <w:szCs w:val="20"/>
          <w:color w:val="auto"/>
        </w:rPr>
      </w:pPr>
      <w:r>
        <w:rPr>
          <w:rFonts w:ascii="Times New Roman" w:cs="Times New Roman" w:eastAsia="Times New Roman" w:hAnsi="Times New Roman"/>
          <w:sz w:val="18"/>
          <w:szCs w:val="18"/>
          <w:color w:val="auto"/>
        </w:rPr>
        <w:t>Changes in the allowance for credit losses are as follows:</w:t>
      </w:r>
    </w:p>
    <w:p>
      <w:pPr>
        <w:spacing w:after="0" w:line="2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Current period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Write-offs, net and other</w:t>
      </w: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Common Unit Repurchase and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4"/>
          <w:szCs w:val="14"/>
          <w:b w:val="1"/>
          <w:bCs w:val="1"/>
          <w:color w:val="auto"/>
        </w:rPr>
        <w:t>Credit Loss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0883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1310" w:hanging="1310"/>
        <w:spacing w:after="0"/>
        <w:tabs>
          <w:tab w:leader="none" w:pos="13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7,196</w:t>
      </w:r>
    </w:p>
    <w:p>
      <w:pPr>
        <w:spacing w:after="0" w:line="7" w:lineRule="exact"/>
        <w:rPr>
          <w:rFonts w:ascii="Times New Roman" w:cs="Times New Roman" w:eastAsia="Times New Roman" w:hAnsi="Times New Roman"/>
          <w:sz w:val="18"/>
          <w:szCs w:val="18"/>
          <w:color w:val="auto"/>
        </w:rPr>
      </w:pPr>
    </w:p>
    <w:p>
      <w:pPr>
        <w:ind w:left="13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(267)</w:t>
      </w:r>
    </w:p>
    <w:p>
      <w:pPr>
        <w:spacing w:after="0" w:line="20" w:lineRule="exact"/>
        <w:rPr>
          <w:rFonts w:ascii="Times New Roman" w:cs="Times New Roman" w:eastAsia="Times New Roman" w:hAnsi="Times New Roman"/>
          <w:sz w:val="18"/>
          <w:szCs w:val="18"/>
          <w:color w:val="auto"/>
        </w:rPr>
      </w:pPr>
    </w:p>
    <w:p>
      <w:pPr>
        <w:ind w:left="14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w:t>
      </w:r>
    </w:p>
    <w:p>
      <w:pPr>
        <w:spacing w:after="0" w:line="9" w:lineRule="exact"/>
        <w:rPr>
          <w:sz w:val="20"/>
          <w:szCs w:val="20"/>
          <w:color w:val="auto"/>
        </w:rPr>
      </w:pPr>
    </w:p>
    <w:p>
      <w:pPr>
        <w:ind w:left="1310" w:hanging="1310"/>
        <w:spacing w:after="0"/>
        <w:tabs>
          <w:tab w:leader="none" w:pos="1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83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883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908" w:lineRule="exact"/>
        <w:rPr>
          <w:sz w:val="20"/>
          <w:szCs w:val="20"/>
          <w:color w:val="auto"/>
        </w:rPr>
      </w:pPr>
    </w:p>
    <w:p>
      <w:pPr>
        <w:sectPr>
          <w:pgSz w:w="11900" w:h="16838" w:orient="portrait"/>
          <w:cols w:equalWidth="0" w:num="2">
            <w:col w:w="7050" w:space="720"/>
            <w:col w:w="3450"/>
          </w:cols>
          <w:pgMar w:left="320" w:top="1334" w:right="35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July 2012, the Board adopted a plan to repurchase certain of the Company’s Common Units (the “Repurchase Plan”). Through May 2023, the Company had repurchased approximately 20.5 million Common Units under the Repurchase Plan. In May 2023, the Board authorized an increase of the number of Common Units that remained available for the Company to repurchase from 1.1 million to a total of 2.6 million, of which, approximately 2.3 million were available for repurchase in open market transactions and approximately 0.3 million were available for repurchase in privately-negotiated transactions. There is no 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type w:val="continuous"/>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Company’s repurchase activities take into account SEC safe harbor rules and guidance for issuer repurchases. All of the Common Units purchased under the Repurchase Plan will be retired.</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credit agreement dated September 27, 2024, in order to repurchase Common Units we must maintain Availability (as defined in the credit agreement) of not less than the greater of (i) 15% of the Line Cap (lesser of the aggregate revolving commitment and the borrowing base) which was $38.3 million as of December 31, 2025 and (ii) $40 million on a historical pro forma and forward-looking basis, and a fixed charge coverage ratio of not less than 1.15 measured as of the date of repurchase or distribution. (See Note 11—Long-Term Debt and Bank Facility Borrowings).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repurchases under the Repurchase Plan: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amounts)</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Purchased as</w:t>
            </w:r>
          </w:p>
        </w:tc>
        <w:tc>
          <w:tcPr>
            <w:tcW w:w="220" w:type="dxa"/>
            <w:vAlign w:val="bottom"/>
          </w:tcPr>
          <w:p>
            <w:pPr>
              <w:spacing w:after="0"/>
              <w:rPr>
                <w:sz w:val="12"/>
                <w:szCs w:val="12"/>
                <w:color w:val="auto"/>
              </w:rPr>
            </w:pPr>
          </w:p>
        </w:tc>
        <w:tc>
          <w:tcPr>
            <w:tcW w:w="15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2"/>
                <w:szCs w:val="12"/>
                <w:color w:val="auto"/>
              </w:rPr>
            </w:pPr>
          </w:p>
        </w:tc>
        <w:tc>
          <w:tcPr>
            <w:tcW w:w="150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 May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Units Purchased</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Paid per Unit (a)</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119"/>
              <w:spacing w:after="0" w:line="160"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Fiscal year 2012 to 2025 total</w:t>
            </w:r>
          </w:p>
        </w:tc>
        <w:tc>
          <w:tcPr>
            <w:tcW w:w="1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5"/>
              </w:rPr>
              <w:t>(b)</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FF0FC"/>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quarter fiscal year 2026 total</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(c)</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-1054100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-1036320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-1054100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-1036320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-1054100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-1036320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-1054100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-1036320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-479425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-479425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-479425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-479425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repurchase costs.</w:t>
      </w:r>
    </w:p>
    <w:p>
      <w:pPr>
        <w:spacing w:after="0" w:line="36"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the Company purchased 138,600 Common Units in a private transaction for aggregate consideration of approximately $1.6 million. The purchase was made within the Company’s unit repurchase plan.</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available for repurchase, approximately 0.4 million units are available for repurchase in open market transactions and approximately 0.1 million units are available for repurchase in privately-negotiated transactions, under the Repurchase Plan.</w:t>
      </w:r>
    </w:p>
    <w:p>
      <w:pPr>
        <w:spacing w:after="0" w:line="265"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Captive Insurance Collateral</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captive insurance collateral to be Level 1 available-for-sale investments. Investments at December 31, 2025 consist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3"/>
                <w:szCs w:val="13"/>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00" w:type="dxa"/>
            <w:vAlign w:val="bottom"/>
          </w:tcPr>
          <w:p>
            <w:pPr>
              <w:spacing w:after="0"/>
              <w:rPr>
                <w:sz w:val="13"/>
                <w:szCs w:val="1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73,527</w:t>
            </w:r>
          </w:p>
        </w:tc>
        <w:tc>
          <w:tcPr>
            <w:tcW w:w="160" w:type="dxa"/>
            <w:vAlign w:val="bottom"/>
            <w:tcBorders>
              <w:right w:val="single" w:sz="8" w:color="CFF0FC"/>
            </w:tcBorders>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5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73,600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79,051</w:t>
            </w:r>
          </w:p>
        </w:tc>
        <w:tc>
          <w:tcPr>
            <w:tcW w:w="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78,997</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Investments at September 30, 2025 consist of the following (in thousands):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23"/>
                <w:szCs w:val="23"/>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00" w:type="dxa"/>
            <w:vAlign w:val="bottom"/>
          </w:tcPr>
          <w:p>
            <w:pPr>
              <w:spacing w:after="0"/>
              <w:rPr>
                <w:sz w:val="23"/>
                <w:szCs w:val="23"/>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3"/>
                <w:szCs w:val="23"/>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71,453</w:t>
            </w:r>
          </w:p>
        </w:tc>
        <w:tc>
          <w:tcPr>
            <w:tcW w:w="140" w:type="dxa"/>
            <w:vAlign w:val="bottom"/>
            <w:tcBorders>
              <w:lef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77"/>
              </w:rPr>
              <w:t>79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71,521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40" w:type="dxa"/>
            <w:vAlign w:val="bottom"/>
            <w:tcBorders>
              <w:left w:val="single" w:sz="8" w:color="CFF0FC"/>
            </w:tcBorders>
            <w:shd w:val="clear" w:color="auto" w:fill="CFF0FC"/>
          </w:tcPr>
          <w:p>
            <w:pPr>
              <w:spacing w:after="0"/>
              <w:rPr>
                <w:sz w:val="21"/>
                <w:szCs w:val="21"/>
                <w:color w:val="auto"/>
              </w:rPr>
            </w:pPr>
          </w:p>
        </w:tc>
        <w:tc>
          <w:tcPr>
            <w:tcW w:w="8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77"/>
              </w:rPr>
              <w:t>79</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78,189</w:t>
            </w:r>
          </w:p>
        </w:tc>
        <w:tc>
          <w:tcPr>
            <w:tcW w:w="0" w:type="dxa"/>
            <w:vAlign w:val="bottom"/>
          </w:tcPr>
          <w:p>
            <w:pPr>
              <w:spacing w:after="0"/>
              <w:rPr>
                <w:sz w:val="1"/>
                <w:szCs w:val="1"/>
                <w:color w:val="auto"/>
              </w:rPr>
            </w:pPr>
          </w:p>
        </w:tc>
      </w:tr>
      <w:tr>
        <w:trPr>
          <w:trHeight w:val="628"/>
        </w:trPr>
        <w:tc>
          <w:tcPr>
            <w:tcW w:w="35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-2108200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-2091055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-2108200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-2091055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-2108200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-2091055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-933450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-916305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Maturities of investments were as follows at December 31, 2025 (in thousands):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Pr>
          <w:p>
            <w:pPr>
              <w:spacing w:after="0"/>
              <w:rPr>
                <w:sz w:val="15"/>
                <w:szCs w:val="15"/>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78,997</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 and Hedging—Disclosures and Fair Value Measurements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to hedge a substantial majority of the purchase price associated with heating oil gallons anticipated to be sold to our price-protected customers, the Company held the following derivative instruments that settle in future months to match anticipated sales: 14.5 million gallons of swap contracts, 5.3 million gallons of call options, 6.4 million gallons of put options, and 49.9 million net gallons of synthetic call options. To hedge its physical inventory on hand, inventory in transit and basis risk, the Company, as of December 31, 2025, held 2.3 million gallons of swap contracts and 14.7 million gallons of short future contracts that settle in future months. To hedge our internal fuel usage and other activities for fiscal 2026, the Company held 5.8 million gallons of swap contracts that settle in future months.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to hedge a substantial majority of the purchase price associated with heating oil gallons anticipated to be sold to its price-protected customers, the Company held the following derivative instruments that settle in future months to match anticipated sales: 17.2 million gallons of swap contracts, 5.9 million gallons of call options, 8.4 million gallons of put options, and 52.2 million net gallons of synthetic call options. To hedge its physical inventory on hand, inventory in transit and basis risk, the Company, as of December 31, 2024, held 1.1 million gallons of swap contracts and 18.5 million gallons of short future contracts that settle in future months. To hedge its internal fuel usage and other activities for fiscal 2025, the Company held 5.9 million gallons of swap contracts that settle in future months.</w:t>
      </w:r>
    </w:p>
    <w:p>
      <w:pPr>
        <w:spacing w:after="0" w:line="7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As of December 31, 2025, the Company has interest rate swap agreements in order to mitigate exposure to market risk associated with variable rate interest on $73.6 million, or 40%, of our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 As of December 31, 2025, the fair value of the swap contracts was $(0.6) million. As of September 30, 2025, the notional value of the swap contracts was $74.5 million and the fair value of the swap contracts was $(0.6) million. We utilized Level 2 inputs in the fair value hierarchy of valuation techniques to determine the fair value of the swap contracts.</w:t>
      </w:r>
    </w:p>
    <w:p>
      <w:pPr>
        <w:spacing w:after="0" w:line="65"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The Company’s derivative instruments are with the following counterparties: Bank of America, N.A., Bank of Montreal, Cargill, Inc., Citibank, N.A., Citizens Bank, N.A., JPMorgan Chase Bank, N.A., MSI GuaranteedWeather Trading Ltd., Munich Re Trading LLC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December 31, 2025, we did not have any cash posted as collateral with counterparties. Positions with counterparties who are also parties to our credit agreement are collateralized under that facility. As of December 31, 2025, $9.8 million hedge positions or payable amounts were secured under the credit facility.</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3" w:name="page14"/>
    <w:bookmarkEnd w:id="13"/>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w:t>
      </w:r>
    </w:p>
    <w:p>
      <w:pPr>
        <w:spacing w:after="0" w:line="80"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had no assets or liabilities that are measured at fair value on a nonrecurring basis subsequent to their initial recognition. The Company’s commodity financial assets and liabilities measured at fair value on a recurring basis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0" w:type="dxa"/>
            <w:vAlign w:val="bottom"/>
          </w:tcPr>
          <w:p>
            <w:pPr>
              <w:spacing w:after="0"/>
              <w:rPr>
                <w:sz w:val="1"/>
                <w:szCs w:val="1"/>
                <w:color w:val="auto"/>
              </w:rPr>
            </w:pPr>
          </w:p>
        </w:tc>
      </w:tr>
      <w:tr>
        <w:trPr>
          <w:trHeight w:val="173"/>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306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 FASB ASC 815-10</w:t>
            </w:r>
          </w:p>
        </w:tc>
        <w:tc>
          <w:tcPr>
            <w:tcW w:w="1480" w:type="dxa"/>
            <w:vAlign w:val="bottom"/>
          </w:tcPr>
          <w:p>
            <w:pPr>
              <w:spacing w:after="0"/>
              <w:rPr>
                <w:sz w:val="15"/>
                <w:szCs w:val="15"/>
                <w:color w:val="auto"/>
              </w:rPr>
            </w:pPr>
          </w:p>
        </w:tc>
        <w:tc>
          <w:tcPr>
            <w:tcW w:w="33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Asset Derivatives at December</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9,054</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 and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net balances</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December 31,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9,885</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Liability Derivatives at December 31, 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(17,442)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Long-term derivative liabilities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 and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18"/>
                <w:szCs w:val="18"/>
                <w:color w:val="auto"/>
              </w:rPr>
            </w:pPr>
          </w:p>
        </w:tc>
        <w:tc>
          <w:tcPr>
            <w:tcW w:w="14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net balances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December 31,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(18,412)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(18,412)</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Asset Derivatives at September 30, 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September 30,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8,316</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Liability Derivatives at September 30, 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7"/>
                <w:szCs w:val="17"/>
                <w:color w:val="auto"/>
              </w:rPr>
            </w:pPr>
          </w:p>
        </w:tc>
        <w:tc>
          <w:tcPr>
            <w:tcW w:w="14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September 30,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(8,822)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(8,822)</w:t>
            </w:r>
          </w:p>
        </w:tc>
        <w:tc>
          <w:tcPr>
            <w:tcW w:w="0" w:type="dxa"/>
            <w:vAlign w:val="bottom"/>
          </w:tcPr>
          <w:p>
            <w:pPr>
              <w:spacing w:after="0"/>
              <w:rPr>
                <w:sz w:val="1"/>
                <w:szCs w:val="1"/>
                <w:color w:val="auto"/>
              </w:rPr>
            </w:pPr>
          </w:p>
        </w:tc>
      </w:tr>
      <w:tr>
        <w:trPr>
          <w:trHeight w:val="628"/>
        </w:trPr>
        <w:tc>
          <w:tcPr>
            <w:tcW w:w="158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ind w:left="24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-3488055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-3505200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-3488055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-2630805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-2630805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-1773555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-1790700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-1773555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-916940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commodity derivative assets (liabilities) offset by counterparty and subject to an enforceable master netting arrangement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gridSpan w:val="11"/>
          </w:tcPr>
          <w:p>
            <w:pPr>
              <w:ind w:left="56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0" w:type="dxa"/>
            <w:vAlign w:val="bottom"/>
          </w:tcPr>
          <w:p>
            <w:pPr>
              <w:spacing w:after="0"/>
              <w:rPr>
                <w:sz w:val="1"/>
                <w:szCs w:val="1"/>
                <w:color w:val="auto"/>
              </w:rPr>
            </w:pPr>
          </w:p>
        </w:tc>
      </w:tr>
      <w:tr>
        <w:trPr>
          <w:trHeight w:val="173"/>
        </w:trPr>
        <w:tc>
          <w:tcPr>
            <w:tcW w:w="3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12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gridSpan w:val="11"/>
          </w:tcPr>
          <w:p>
            <w:pPr>
              <w:ind w:left="600"/>
              <w:spacing w:after="0"/>
              <w:rPr>
                <w:sz w:val="20"/>
                <w:szCs w:val="20"/>
                <w:color w:val="auto"/>
              </w:rPr>
            </w:pPr>
            <w:r>
              <w:rPr>
                <w:rFonts w:ascii="Times New Roman" w:cs="Times New Roman" w:eastAsia="Times New Roman" w:hAnsi="Times New Roman"/>
                <w:sz w:val="14"/>
                <w:szCs w:val="14"/>
                <w:b w:val="1"/>
                <w:bCs w:val="1"/>
                <w:color w:val="auto"/>
              </w:rPr>
              <w:t>Statement of Financial Position</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260" w:type="dxa"/>
            <w:vAlign w:val="bottom"/>
            <w:gridSpan w:val="4"/>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4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Offsetting of Financial Assets (Liabilities)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100" w:type="dxa"/>
            <w:vAlign w:val="bottom"/>
          </w:tcPr>
          <w:p>
            <w:pPr>
              <w:spacing w:after="0"/>
              <w:rPr>
                <w:sz w:val="13"/>
                <w:szCs w:val="13"/>
                <w:color w:val="auto"/>
              </w:rPr>
            </w:pPr>
          </w:p>
        </w:tc>
        <w:tc>
          <w:tcPr>
            <w:tcW w:w="1260" w:type="dxa"/>
            <w:vAlign w:val="bottom"/>
            <w:gridSpan w:val="4"/>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Derivative Assets (Liabilities)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4"/>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198"/>
        </w:trPr>
        <w:tc>
          <w:tcPr>
            <w:tcW w:w="314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liabilities included in</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FF0FC"/>
          </w:tcPr>
          <w:p>
            <w:pPr>
              <w:spacing w:after="0"/>
              <w:rPr>
                <w:sz w:val="17"/>
                <w:szCs w:val="17"/>
                <w:color w:val="auto"/>
              </w:rPr>
            </w:pPr>
          </w:p>
        </w:tc>
        <w:tc>
          <w:tcPr>
            <w:tcW w:w="1260" w:type="dxa"/>
            <w:vAlign w:val="bottom"/>
            <w:gridSpan w:val="4"/>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1"/>
        </w:trPr>
        <w:tc>
          <w:tcPr>
            <w:tcW w:w="31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 net</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4"/>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at December 31, 2025</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(8,527)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Fair asset value of derivative instruments</w:t>
            </w:r>
          </w:p>
        </w:tc>
        <w:tc>
          <w:tcPr>
            <w:tcW w:w="6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3,630</w:t>
            </w:r>
          </w:p>
        </w:tc>
        <w:tc>
          <w:tcPr>
            <w:tcW w:w="3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6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ind w:left="5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FF0FC"/>
          </w:tcPr>
          <w:p>
            <w:pPr>
              <w:spacing w:after="0"/>
              <w:rPr>
                <w:sz w:val="18"/>
                <w:szCs w:val="18"/>
                <w:color w:val="auto"/>
              </w:rPr>
            </w:pPr>
          </w:p>
        </w:tc>
        <w:tc>
          <w:tcPr>
            <w:tcW w:w="12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0"/>
        </w:trPr>
        <w:tc>
          <w:tcPr>
            <w:tcW w:w="12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at September 30, 2025</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3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14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Statement of Operations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Amount of (Gain)</w:t>
            </w:r>
          </w:p>
        </w:tc>
        <w:tc>
          <w:tcPr>
            <w:tcW w:w="1240" w:type="dxa"/>
            <w:vAlign w:val="bottom"/>
            <w:tcBorders>
              <w:bottom w:val="single" w:sz="8" w:color="auto"/>
            </w:tcBorders>
            <w:gridSpan w:val="6"/>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or Loss Recognized</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7"/>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gridSpan w:val="5"/>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6"/>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 Under FASB ASC 815-10</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Recognized in Income on Derivative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(a)</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Cost of installations and service (a)</w:t>
            </w:r>
          </w:p>
        </w:tc>
        <w:tc>
          <w:tcPr>
            <w:tcW w:w="100" w:type="dxa"/>
            <w:vAlign w:val="bottom"/>
          </w:tcPr>
          <w:p>
            <w:pPr>
              <w:spacing w:after="0"/>
              <w:rPr>
                <w:sz w:val="18"/>
                <w:szCs w:val="18"/>
                <w:color w:val="auto"/>
              </w:rPr>
            </w:pPr>
          </w:p>
        </w:tc>
        <w:tc>
          <w:tcPr>
            <w:tcW w:w="1120" w:type="dxa"/>
            <w:vAlign w:val="bottom"/>
            <w:gridSpan w:val="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Delivery and branch expenses (a)</w:t>
            </w: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74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(Increase) / decrease in the fair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value of derivative instruments (b)</w:t>
            </w:r>
          </w:p>
        </w:tc>
        <w:tc>
          <w:tcPr>
            <w:tcW w:w="100" w:type="dxa"/>
            <w:vAlign w:val="bottom"/>
          </w:tcPr>
          <w:p>
            <w:pPr>
              <w:spacing w:after="0"/>
              <w:rPr>
                <w:sz w:val="20"/>
                <w:szCs w:val="20"/>
                <w:color w:val="auto"/>
              </w:rPr>
            </w:pPr>
          </w:p>
        </w:tc>
        <w:tc>
          <w:tcPr>
            <w:tcW w:w="1120" w:type="dxa"/>
            <w:vAlign w:val="bottom"/>
            <w:gridSpan w:val="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20"/>
                <w:szCs w:val="20"/>
                <w:color w:val="auto"/>
              </w:rPr>
            </w:pPr>
          </w:p>
        </w:tc>
        <w:tc>
          <w:tcPr>
            <w:tcW w:w="74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-2305685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-2305685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-2305685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-2305685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-2305685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-1585595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-1585595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-1585595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-1585595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-1585595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realized closed positions and includes the cost of options as they expire.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value of unrealized open positions and expired options.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1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Parts and equipment</w:t>
            </w:r>
          </w:p>
        </w:tc>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2640" w:type="dxa"/>
            <w:vAlign w:val="bottom"/>
            <w:tcBorders>
              <w:top w:val="single" w:sz="8" w:color="CFF0FC"/>
            </w:tcBorders>
          </w:tcPr>
          <w:p>
            <w:pPr>
              <w:spacing w:after="0"/>
              <w:rPr>
                <w:sz w:val="24"/>
                <w:szCs w:val="24"/>
                <w:color w:val="auto"/>
              </w:rPr>
            </w:pPr>
          </w:p>
        </w:tc>
        <w:tc>
          <w:tcPr>
            <w:tcW w:w="272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-916305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is computed over the estimated useful lives of the depreciable assets using the straight-line method (in thousands):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284,500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282,870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154,265</w:t>
            </w:r>
          </w:p>
        </w:tc>
      </w:tr>
      <w:tr>
        <w:trPr>
          <w:trHeight w:val="20"/>
        </w:trPr>
        <w:tc>
          <w:tcPr>
            <w:tcW w:w="4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128,605</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Combinations and Divestitures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complete any acquisitions during the three months ended December 31, 2025.</w:t>
      </w:r>
    </w:p>
    <w:p>
      <w:pPr>
        <w:spacing w:after="0" w:line="11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sold certain assets for cash proceeds of $0.3 million and acquired a heating oil business for approximately $0.7 million in cash. The gross purchase price was allocated $0.8 million to intangible assets, $0.4 million to goodwill, $0.3 million to fixed assets and reduced by $0.8 million of negative working capital.</w:t>
      </w:r>
    </w:p>
    <w:p>
      <w:pPr>
        <w:spacing w:after="0" w:line="280" w:lineRule="exact"/>
        <w:rPr>
          <w:sz w:val="20"/>
          <w:szCs w:val="20"/>
          <w:color w:val="auto"/>
        </w:rPr>
      </w:pPr>
    </w:p>
    <w:p>
      <w:pPr>
        <w:ind w:left="520" w:right="9300" w:hanging="512"/>
        <w:spacing w:after="0" w:line="400" w:lineRule="auto"/>
        <w:tabs>
          <w:tab w:leader="none" w:pos="29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Intangible Assets, net </w:t>
      </w:r>
      <w:r>
        <w:rPr>
          <w:rFonts w:ascii="Times New Roman" w:cs="Times New Roman" w:eastAsia="Times New Roman" w:hAnsi="Times New Roman"/>
          <w:sz w:val="17"/>
          <w:szCs w:val="17"/>
          <w:b w:val="1"/>
          <w:bCs w:val="1"/>
          <w:i w:val="1"/>
          <w:iCs w:val="1"/>
          <w:color w:val="auto"/>
        </w:rPr>
        <w:t>Intangibles, net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gross carrying amount and accumulated amortization of intangible assets subject to amortization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493,431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395,922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97,509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493,431</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391,702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101,729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22,590</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23,163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545,459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425,360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120,099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545,459</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420,567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124,892</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$4.8 million for the three months ended December 31, 2025, compared to $4.5 million for the three months ended December 31, 2024.</w:t>
      </w:r>
    </w:p>
    <w:p>
      <w:pPr>
        <w:spacing w:after="0" w:line="266" w:lineRule="exact"/>
        <w:rPr>
          <w:sz w:val="20"/>
          <w:szCs w:val="20"/>
          <w:color w:val="auto"/>
        </w:rPr>
      </w:pPr>
    </w:p>
    <w:p>
      <w:pPr>
        <w:ind w:left="520" w:right="7140" w:hanging="512"/>
        <w:spacing w:after="0" w:line="322" w:lineRule="auto"/>
        <w:tabs>
          <w:tab w:leader="none" w:pos="29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and Bank Facility Borrowings </w:t>
      </w:r>
      <w:r>
        <w:rPr>
          <w:rFonts w:ascii="Times New Roman" w:cs="Times New Roman" w:eastAsia="Times New Roman" w:hAnsi="Times New Roman"/>
          <w:sz w:val="18"/>
          <w:szCs w:val="18"/>
          <w:color w:val="auto"/>
        </w:rPr>
        <w:t>The Company’s debt is as follows (in thousands):</w:t>
      </w:r>
    </w:p>
    <w:tbl>
      <w:tblPr>
        <w:tblLayout w:type="fixed"/>
        <w:tblInd w:w="580" w:type="dxa"/>
        <w:tblCellMar>
          <w:top w:w="0" w:type="dxa"/>
          <w:left w:w="0" w:type="dxa"/>
          <w:bottom w:w="0" w:type="dxa"/>
          <w:right w:w="0" w:type="dxa"/>
        </w:tblCellMar>
      </w:tblPr>
      <w:tr>
        <w:trPr>
          <w:trHeight w:val="155"/>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71,870</w:t>
            </w:r>
          </w:p>
        </w:tc>
        <w:tc>
          <w:tcPr>
            <w:tcW w:w="5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71,870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(b)</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182,938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254,808</w:t>
            </w:r>
          </w:p>
        </w:tc>
        <w:tc>
          <w:tcPr>
            <w:tcW w:w="5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255,620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188,118</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short-term portion of debt</w:t>
            </w:r>
          </w:p>
        </w:tc>
        <w:tc>
          <w:tcPr>
            <w:tcW w:w="1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92,870</w:t>
            </w:r>
          </w:p>
        </w:tc>
        <w:tc>
          <w:tcPr>
            <w:tcW w:w="500" w:type="dxa"/>
            <w:vAlign w:val="bottom"/>
            <w:gridSpan w:val="2"/>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92,870</w:t>
            </w: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500" w:type="dxa"/>
            <w:vAlign w:val="bottom"/>
            <w:gridSpan w:val="2"/>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long-term portion of debt (b)</w:t>
            </w:r>
          </w:p>
        </w:tc>
        <w:tc>
          <w:tcPr>
            <w:tcW w:w="14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161,938</w:t>
            </w:r>
          </w:p>
        </w:tc>
        <w:tc>
          <w:tcPr>
            <w:tcW w:w="500" w:type="dxa"/>
            <w:vAlign w:val="bottom"/>
            <w:gridSpan w:val="2"/>
            <w:shd w:val="clear" w:color="auto" w:fill="CFF0FC"/>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162,750</w:t>
            </w:r>
          </w:p>
        </w:tc>
        <w:tc>
          <w:tcPr>
            <w:tcW w:w="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167,118</w:t>
            </w:r>
          </w:p>
        </w:tc>
        <w:tc>
          <w:tcPr>
            <w:tcW w:w="500" w:type="dxa"/>
            <w:vAlign w:val="bottom"/>
            <w:gridSpan w:val="2"/>
            <w:shd w:val="clear" w:color="auto" w:fill="CFF0FC"/>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168,000</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-350520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-333375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-333375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-350520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-333375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Company’s variable rate long-term debt approximates fair value.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are net of unamortized debt issuance costs of $0.8 million as of December 31, 2025, and $0.9 million as of September 30,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refinanced its five-year term loan and the revolving credit facility with the execution of the seventh amended and restated revolving credit facility agreement (the “credit agreement”) with a bank syndicate comprised of ten participants, which enables the Company to borrow up to $400 million ($475 million during the heating season of December through April of each year) on a revolving credit facility for working capital purposes (subject to certain borrowing base limitations and coverage ratios), provides for a $210 million five-year senior secured term loan (“Term Loan”), allows for the issuance of up to $25 million in letters of credit, and has a maturity date of September 27, 2029.</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credit agreement become due and payable on the facility termination date of September 27, 2029. The Term Loan is repayable in quarterly payments of $5.3 million, plus an annual payment equal to 25% of the annual Excess Cash Flow as defined in the credit agreement (an amount not to exceed $4.0 million annually), less certain voluntary prepayments made during the year, with final payment at maturity. The Company was not required to make additional term loan repayments due to Excess Cash Flow for the fiscal year ended September 30, 2025.</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on the revolving credit facility and the term loan is based on a margin over Adjusted Term Secured Overnight Financing Rate ("SOFR") or a base rate. At December 31, 2025, the effective interest rate on the term loan (considering the impact of interest rate hedges) and revolving credit facility borrowings was approximately 6.9% and 6.6%, respectively, compared to 7.1% and 6.4%, respectively at September 30, 2025.</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commitment fee on the unused portion of the revolving credit facility is 0.30% from December through April, and 0.20% from May through November.</w:t>
      </w:r>
    </w:p>
    <w:p>
      <w:pPr>
        <w:spacing w:after="0" w:line="5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including a fixed charge coverage ratio of 1.10 if Availability (as defined in the credit agreement) is less than the greater of (a) 12.5% of the Line Cap (lesser of the aggregate revolving commitment and the borrowing base) which was $31.9 million as of December 31, 2025 and (b) $35.0 million. In addition, as long as the Term Loan is outstanding, a senior secured leverage ratio cannot be more than 3.0 as calculated as of the quarters ending June or September, and no more than 5.5 as calculated as of the quarters ending December or March.</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restrictions are also imposed by the credit agreement, including restrictions on the Company’s ability to incur additional indebtedness, to pay distributions to unitholders, to pay certain inter-company dividends or distributions, repurchase units, make investments, grant liens, sell assets, make acquisitions and engage in certain other activities.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$183.8 million of the Term Loan was outstanding, $71.9 million were outstanding under the revolving credit facility, $9.8 million hedge positions were secured under the credit agreement, and $5.1 million of letters of credit were issued and outstanding. At September 30, 2025, $189.0 million of the term loan was outstanding, no borrowings were outstanding under the revolving credit facility, $1.3 million hedge positions were secured under the credit agreement and $5.1 million of letters of credit were issued and outstanding.</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availability was $168.6 million, and the Company was in compliance with the financial covenants. At September 30, 2025, availability was $165.0 million, and the Company was in compliance with the financial covenants. The amount of availability is impacted by several factors, including: outstanding debt, the valuation of our customer list, and accounts receivable and inventory balances. Each year, during the third quarter, the valuation of our customer list is re-evaluated based on the Company's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several changes to corporate taxation including changes to depreciation deductions, deductions for interest expense and reinstating 100% bonus depreciation on fixed assets acquired and placed in service after January 19, 2025.</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reported on a fiscal year, however, the Company and its corporate subsidiaries file Federal and State income tax returns on a calendar year.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current and deferred income tax expense for the three months ended December 31, 2025, and December 31, 2024, are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540" w:type="dxa"/>
            <w:vAlign w:val="bottom"/>
            <w:vMerge w:val="restart"/>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554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8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2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13,225</w:t>
            </w:r>
          </w:p>
        </w:tc>
        <w:tc>
          <w:tcPr>
            <w:tcW w:w="260" w:type="dxa"/>
            <w:vAlign w:val="bottom"/>
            <w:tcBorders>
              <w:top w:val="single" w:sz="8" w:color="CFF0FC"/>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-471170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-454025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we did not have unrecognized income tax benefits.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continuing practice is to recognize interest and penalties related to income tax matters as a component of income tax expense. 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Disclosure of Cash Flow Information</w:t>
      </w:r>
    </w:p>
    <w:p>
      <w:pPr>
        <w:spacing w:after="0" w:line="1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840" w:type="dxa"/>
            <w:vAlign w:val="bottom"/>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15) Earnings Per Limited Partner Unit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net income allocation and per unit data:</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Basic and Diluted Earnings Per Limited Partner:</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8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Less General Partner’s interest in net income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09"/>
        </w:trPr>
        <w:tc>
          <w:tcPr>
            <w:tcW w:w="7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 earnings *</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8"/>
                <w:szCs w:val="18"/>
                <w:color w:val="auto"/>
              </w:rPr>
            </w:pPr>
          </w:p>
        </w:tc>
      </w:tr>
      <w:tr>
        <w:trPr>
          <w:trHeight w:val="249"/>
        </w:trPr>
        <w:tc>
          <w:tcPr>
            <w:tcW w:w="7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29,532</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27,206</w:t>
            </w:r>
          </w:p>
        </w:tc>
        <w:tc>
          <w:tcPr>
            <w:tcW w:w="100" w:type="dxa"/>
            <w:vAlign w:val="bottom"/>
            <w:shd w:val="clear" w:color="auto" w:fill="CFF0FC"/>
          </w:tcPr>
          <w:p>
            <w:pPr>
              <w:spacing w:after="0"/>
              <w:rPr>
                <w:sz w:val="21"/>
                <w:szCs w:val="21"/>
                <w:color w:val="auto"/>
              </w:rPr>
            </w:pPr>
          </w:p>
        </w:tc>
      </w:tr>
      <w:tr>
        <w:trPr>
          <w:trHeight w:val="156"/>
        </w:trPr>
        <w:tc>
          <w:tcPr>
            <w:tcW w:w="740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Per unit data:</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available to limited partners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 earnings *</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r>
      <w:tr>
        <w:trPr>
          <w:trHeight w:val="249"/>
        </w:trPr>
        <w:tc>
          <w:tcPr>
            <w:tcW w:w="7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33,084</w:t>
            </w: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34,587</w:t>
            </w:r>
          </w:p>
        </w:tc>
        <w:tc>
          <w:tcPr>
            <w:tcW w:w="100" w:type="dxa"/>
            <w:vAlign w:val="bottom"/>
            <w:tcBorders>
              <w:top w:val="single" w:sz="8" w:color="CFF0FC"/>
            </w:tcBorders>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-770890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-753745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-770890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760" w:right="300" w:hanging="3"/>
        <w:spacing w:after="0" w:line="261" w:lineRule="auto"/>
        <w:tabs>
          <w:tab w:leader="none" w:pos="1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spacing w:after="0" w:line="28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which is managed on a consolidated basis. Revenues are primarily derived from the sale of petroleum products, heating and air conditioning equipment, and related repair, maintenance, and other services. See Note 3 – Revenue Recognition for additional information.</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(“CEO”). The CODM makes key operating decisions and evaluates financial performance based on Adjusted EBITDA, defined as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The CODM reviews net income and Adjusted EBITDA on a monthly basis to monitor performance, compare actual results to budgets and forecasts, and assess overall operating effectiveness. The CODM also monitors significant expenses, including: cost of product, cost of installations and service, general and administrative expenses as well as components of delivery and branch expenses.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Because the Company has only one reportable segment, the amounts reported in the consolidated financial statements also represent the segment information, including total assets.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segment financial information:</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Petroleum</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products sales:</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372,557</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322,840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petroleum products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447,983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399,459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Installations and service sales: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Equipment installations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91,273</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88,604</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sales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product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installations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Delivery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Operations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Garage and plant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service and credit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Insurance related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Weather hedge contracts loss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Finance charge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(3,819)</w:t>
            </w: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-3359785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-3359785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-873760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-873760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Distribution Declared</w:t>
      </w:r>
    </w:p>
    <w:p>
      <w:pPr>
        <w:spacing w:after="0" w:line="11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In January 2026, we declared a quarterly distribution of $0.1850 per unit, or $0.74 per unit on an annualized basis, on all Common Units with respect to the first quarter of fiscal 2026, paid on February 4, 2026, to holders of record on January 26, 2026. The amount of distributions in excess of the minimum quarterly distribution of $0.0675 are distributed in accordance with our Partnership Agreement, subject to the management incentive compensation plan. As a result, $6.1 million was paid to the Common Unit holders, $0.4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Units Repurchased and Retired</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January 2026, in accordance with the Repurchase Plan, the Company repurchased and retired less than 0.1 million Common Units at an average price paid of $11.95 per unit.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December 31, 2025, the Company purchased the customer list and assets of a heating oil business for approximately $0.9 million before working capital adjustments.</w:t>
      </w:r>
    </w:p>
    <w:p>
      <w:pPr>
        <w:spacing w:after="0" w:line="1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99"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which represent our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headings “Risk Factors” and “Management’s Discussion and Analysis of Financial Condition and Results of Operations” and in our Fiscal 2025 Form 10-K under Part I Item 1A “Risk Factors.” Important factors that could cause actual results to differ materially from our expectations (“Cautionary Statements”) are disclosed in this Report and in our Fiscal 2025 Form 10-K.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Home heating oil consumers are sensitive to heating cost increases, and this often leads to customer conservation and increased gross customer losses. As a commodity, the price of home heating oil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2022, through 2026, on a quarterly basis, is illustrated in the following chart (price per gallon):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tcPr>
          <w:p>
            <w:pPr>
              <w:spacing w:after="0"/>
              <w:rPr>
                <w:sz w:val="15"/>
                <w:szCs w:val="15"/>
                <w:color w:val="auto"/>
              </w:rPr>
            </w:pPr>
          </w:p>
        </w:tc>
        <w:tc>
          <w:tcPr>
            <w:tcW w:w="142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240" w:type="dxa"/>
            <w:vAlign w:val="bottom"/>
          </w:tcPr>
          <w:p>
            <w:pPr>
              <w:spacing w:after="0"/>
              <w:rPr>
                <w:sz w:val="15"/>
                <w:szCs w:val="15"/>
                <w:color w:val="auto"/>
              </w:rPr>
            </w:pPr>
          </w:p>
        </w:tc>
        <w:tc>
          <w:tcPr>
            <w:tcW w:w="14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20" w:type="dxa"/>
            <w:vAlign w:val="bottom"/>
          </w:tcPr>
          <w:p>
            <w:pPr>
              <w:spacing w:after="0"/>
              <w:rPr>
                <w:sz w:val="15"/>
                <w:szCs w:val="15"/>
                <w:color w:val="auto"/>
              </w:rPr>
            </w:pPr>
          </w:p>
        </w:tc>
        <w:tc>
          <w:tcPr>
            <w:tcW w:w="136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Pr>
          <w:p>
            <w:pPr>
              <w:spacing w:after="0"/>
              <w:rPr>
                <w:sz w:val="15"/>
                <w:szCs w:val="15"/>
                <w:color w:val="auto"/>
              </w:rPr>
            </w:pPr>
          </w:p>
        </w:tc>
        <w:tc>
          <w:tcPr>
            <w:tcW w:w="136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20" w:type="dxa"/>
            <w:vAlign w:val="bottom"/>
          </w:tcPr>
          <w:p>
            <w:pPr>
              <w:spacing w:after="0"/>
              <w:rPr>
                <w:sz w:val="15"/>
                <w:szCs w:val="15"/>
                <w:color w:val="auto"/>
              </w:rPr>
            </w:pPr>
          </w:p>
        </w:tc>
        <w:tc>
          <w:tcPr>
            <w:tcW w:w="14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42"/>
        </w:trPr>
        <w:tc>
          <w:tcPr>
            <w:tcW w:w="21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540" w:right="4280" w:hanging="5532"/>
        <w:spacing w:after="0" w:line="53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 2026, the NYMEX ultra low sulfur diesel contract closed at $2.36 per gallon.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Federal Income Tax Legislation</w:t>
      </w:r>
    </w:p>
    <w:p>
      <w:pPr>
        <w:spacing w:after="0" w:line="133"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several changes to corporate taxation including changes to depreciation deductions, deductions for interest expense and reinstated 100% bonus depreciation on fixed assets acquired and placed in service after January 19,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Book versus Tax Deductions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amount of our cash flow generated in any given year depends upon a variety of factors including the amount of our cash income taxes. The amount of depreciation and amortization that we deduct for book (i.e., financial reporting) purposes differs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bonus depreciation available for fixed assets purchased and placed in service. However, this table only includes assets purchased to date, and does not include any forecast for future annual capital purchases.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Estimated Depreciation and Amortization Expense</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Fiscal Year</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Book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34,033</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27,444</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21,246</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22,265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20,094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Hedge Contracts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Under these contracts, the maximum amount the Company could receive is $15.0 million and is additionally obligated to make an annual payment capped at $5.0 million if degree days exceed the Payment Threshold.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temperatures experienced during the hedge period through December 31, 2025, were colder than the strikes in the weather hedge contracts. As a result as of December 31, 2025, we increased delivery and branch expense under those weather hedge contracts by $5.0 million. As of December 31, 2024, in accordance with ASC 815-45, we did not incur a benefit or expense related to the weather hedge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certain products imported from all countries and an additional individualized reciprocal tariff on some countries, including Canada and China. Current uncertainties about tariffs and their effects on trading relationships may affect the cost and availability of the Company's assets, such as trucks, and potentially the products and services we sell as well as potentially contribute to inflation in the markets in which we operate. We are continuing to monitor the economic effects of such announcements, as well as opportunities to mitigate their related impacts, costs and other effects associated with the tariffs; however, these impacts remain uncertain.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Gallon Gross Profit Margins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We follow hedge accounting for our interest rate swaps, but we have opted out of, and do not follow hedge accounting for our commodity derivative instruments as hedging instruments. Regarding our interest rate hedges, to the extent our interest rate derivative instruments designated as cash flow hedges are effective, as defined under this guidance, changes in fair value are recognized in other comprehensive income until the forecasted hedged item is recognized in earnings. As mentioned, we have elected not to designate our commodity derivative instruments as hedging instruments under this guidance and, as a result, the changes in fair value of the commodity derivative instruments are recognized in our statement of operations. Therefore, we experience volatility in earnings as outstanding derivative instruments are marked-to-market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move-outs, credit losses, conversions to natural gas and service disruptions. When a customer moves out of an existing home, we count the “move out” as a loss, and if we are successful in signing up the new homeowner, the “move in” is treated as a gain. Customers sourced by our buying group and association partners are included in our home heating oil and propane customer base. Therefore, any changes in the relationships with these partners could impact gross customer gains and losses going forward.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and losses of home heating oil and propane customers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2020" w:type="dxa"/>
            <w:vAlign w:val="bottom"/>
            <w:gridSpan w:val="3"/>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4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02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0" w:type="dxa"/>
            <w:vAlign w:val="bottom"/>
          </w:tcPr>
          <w:p>
            <w:pPr>
              <w:spacing w:after="0"/>
              <w:rPr>
                <w:sz w:val="1"/>
                <w:szCs w:val="1"/>
                <w:color w:val="auto"/>
              </w:rPr>
            </w:pPr>
          </w:p>
        </w:tc>
      </w:tr>
      <w:tr>
        <w:trPr>
          <w:trHeight w:val="21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9"/>
        </w:trPr>
        <w:tc>
          <w:tcPr>
            <w:tcW w:w="1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629"/>
        </w:trPr>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-934085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-916940</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-934085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-916940</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-934085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-916940</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-934085</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-916940</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-934085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-916940</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-934085</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-916940</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-934085</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-916940</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-934085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-916940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(attrition) as a percentage of home heating oil and propane customer base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2020" w:type="dxa"/>
            <w:vAlign w:val="bottom"/>
            <w:gridSpan w:val="3"/>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4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0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0" w:type="dxa"/>
            <w:vAlign w:val="bottom"/>
          </w:tcPr>
          <w:p>
            <w:pPr>
              <w:spacing w:after="0"/>
              <w:rPr>
                <w:sz w:val="1"/>
                <w:szCs w:val="1"/>
                <w:color w:val="auto"/>
              </w:rPr>
            </w:pPr>
          </w:p>
        </w:tc>
      </w:tr>
      <w:tr>
        <w:trPr>
          <w:trHeight w:val="209"/>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9"/>
        </w:trPr>
        <w:tc>
          <w:tcPr>
            <w:tcW w:w="1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-25400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-25400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the Company lost 1,500 accounts (net), or 0.4% of its home heating oil and propane customer base, compared to 1,400 accounts lost (net), or 0.3% of its home heating and oil propane customer base in the prior year comparable period. Gross customer gains were 500 accounts higher and gross customer losses were 600 accounts higher than the prior year's comparable period.</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we estimate that we lost 0.4% of our home heating oil and propane accounts to natural gas and electricity conversions, consistent with the 0.4% lost for the three months ended December 31, 2024 and 2023, respectively. Losses to natural gas and electricity in our footprint for the heating oil and propane industry could be greater or less than the Company’s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timing of acquisitions and the types of products sold by acquired companies impact year-over-year comparisons. The Company did not complete any acquisitions during the three months ended December 31, 2025. In February 2026, the Company acquired one heating oil business for approximately $0.9 million. During fiscal 2025, the Company acquired one heating oil and three propane businesses for approximately $80.5 million. The following tables detail the Company’s acquisition activity and the associated volume sold during the 12-month period prior to the date of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 thousands of gallons)</w:t>
      </w:r>
    </w:p>
    <w:p>
      <w:pPr>
        <w:spacing w:after="0" w:line="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2026 Acquisitions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Borders>
              <w:top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Month of Acquisition</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2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Other Petroleum Products</w:t>
            </w:r>
          </w:p>
        </w:tc>
        <w:tc>
          <w:tcPr>
            <w:tcW w:w="220" w:type="dxa"/>
            <w:vAlign w:val="bottom"/>
            <w:tcBorders>
              <w:top w:val="single" w:sz="8" w:color="auto"/>
            </w:tcBorders>
            <w:gridSpan w:val="2"/>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120" w:type="dxa"/>
            <w:vAlign w:val="bottom"/>
            <w:tcBorders>
              <w:top w:val="single" w:sz="8" w:color="auto"/>
              <w:bottom w:val="single" w:sz="8" w:color="auto"/>
            </w:tcBorders>
          </w:tcPr>
          <w:p>
            <w:pPr>
              <w:jc w:val="right"/>
              <w:ind w:right="8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Borders>
              <w:bottom w:val="single" w:sz="8" w:color="CFF0FC"/>
            </w:tcBorders>
            <w:shd w:val="clear" w:color="auto" w:fill="CFF0FC"/>
          </w:tcPr>
          <w:p>
            <w:pPr>
              <w:jc w:val="center"/>
              <w:ind w:left="317"/>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February</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2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40" w:type="dxa"/>
            <w:vAlign w:val="bottom"/>
            <w:tcBorders>
              <w:top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 2025 Acquisitions</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4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Pr>
          <w:p>
            <w:pPr>
              <w:spacing w:after="0"/>
              <w:rPr>
                <w:sz w:val="13"/>
                <w:szCs w:val="13"/>
                <w:color w:val="auto"/>
              </w:rPr>
            </w:pPr>
          </w:p>
        </w:tc>
        <w:tc>
          <w:tcPr>
            <w:tcW w:w="224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Month of Acquisition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Other Petroleum Products</w:t>
            </w:r>
          </w:p>
        </w:tc>
        <w:tc>
          <w:tcPr>
            <w:tcW w:w="40" w:type="dxa"/>
            <w:vAlign w:val="bottom"/>
          </w:tcPr>
          <w:p>
            <w:pPr>
              <w:spacing w:after="0"/>
              <w:rPr>
                <w:sz w:val="13"/>
                <w:szCs w:val="13"/>
                <w:color w:val="auto"/>
              </w:rPr>
            </w:pPr>
          </w:p>
        </w:tc>
        <w:tc>
          <w:tcPr>
            <w:tcW w:w="2120" w:type="dxa"/>
            <w:vAlign w:val="bottom"/>
          </w:tcPr>
          <w:p>
            <w:pPr>
              <w:jc w:val="right"/>
              <w:ind w:right="8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Borders>
              <w:top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w:t>
            </w:r>
          </w:p>
        </w:tc>
        <w:tc>
          <w:tcPr>
            <w:tcW w:w="2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60" w:type="dxa"/>
            <w:vAlign w:val="bottom"/>
            <w:shd w:val="clear" w:color="auto" w:fill="CFF0FC"/>
          </w:tcPr>
          <w:p>
            <w:pPr>
              <w:spacing w:after="0"/>
              <w:rPr>
                <w:sz w:val="18"/>
                <w:szCs w:val="18"/>
                <w:color w:val="auto"/>
              </w:rPr>
            </w:pPr>
          </w:p>
        </w:tc>
        <w:tc>
          <w:tcPr>
            <w:tcW w:w="2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left="297"/>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March</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60" w:type="dxa"/>
            <w:vAlign w:val="bottom"/>
          </w:tcPr>
          <w:p>
            <w:pPr>
              <w:spacing w:after="0"/>
              <w:rPr>
                <w:sz w:val="18"/>
                <w:szCs w:val="18"/>
                <w:color w:val="auto"/>
              </w:rPr>
            </w:pP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CFF0FC"/>
            </w:tcBorders>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w:t>
            </w:r>
          </w:p>
        </w:tc>
        <w:tc>
          <w:tcPr>
            <w:tcW w:w="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60" w:type="dxa"/>
            <w:vAlign w:val="bottom"/>
          </w:tcPr>
          <w:p>
            <w:pPr>
              <w:spacing w:after="0"/>
              <w:rPr>
                <w:sz w:val="18"/>
                <w:szCs w:val="18"/>
                <w:color w:val="auto"/>
              </w:rPr>
            </w:pP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3,694</w:t>
            </w: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-1396365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-1396365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Company’s fiscal year ends on September 30. All references to quarters and years, respectively, in this document are to the fiscal quarters and fiscal years unless otherwise noted. The seasonal nature of our business has resulted, on average, during the last five years, in the sale of approximately 30% of the volume of home heating oil and propane in the first fiscal quarter and 50% of the volume in the second fiscal quarter, the peak heating season. Approximately 25% of the volume of motor fuel and other petroleum products is sold in each of the four fiscal quarters. We generally realize net income during the quarters ending December and March and net losses during the quarters ending June and September. In addition, sales volume typically fluctuates from year to year in response to variations in weather, wholesale energy prices and other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long-term (multi-year) average to see if a month or a year was warmer or cooler than usual. Degree days are officially observed by the National Weather Service.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statistics, including the average temperature for the last 30 years by geographical location, and the corresponding degree days. The latest and most widely used data covers the years from 1991 to 2020. Our calculations of “normal” weather are based on these published 30 year averages for heating degree days, weighted by volume for the locations where we have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results of operations of the Company and its subsidiaries and should be read in conjunction with the historical financial and operating data and Notes thereto included elsewhere in this Quarterly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ind w:left="432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Compared to the Three Months Ended December 31,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the three months ended December 31, 2025, retail volume of home heating oil and propane sold increased by 11.5 million gallons, or 13.9%, to 93.9 million gallons, compared to 82.4 million gallons for the three months ended December 31, 2024. For those locations where we had existing operations during both periods, which we sometimes refer to as our “base business” (i.e., excluding acquisitions), temperatures (measured on a heating degree day basis) for the three months ended December 31, 2025 were 18.8% colder than the three months ended December 31, 2024 and 6.1% colder than normal, as reported by NOAA. For the twelve months ended December 31, 2025, net customer attrition for the base business was 4.9%.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Heating Oil</w:t>
            </w:r>
          </w:p>
        </w:tc>
        <w:tc>
          <w:tcPr>
            <w:tcW w:w="0" w:type="dxa"/>
            <w:vAlign w:val="bottom"/>
          </w:tcPr>
          <w:p>
            <w:pPr>
              <w:spacing w:after="0"/>
              <w:rPr>
                <w:sz w:val="1"/>
                <w:szCs w:val="1"/>
                <w:color w:val="auto"/>
              </w:rPr>
            </w:pPr>
          </w:p>
        </w:tc>
      </w:tr>
      <w:tr>
        <w:trPr>
          <w:trHeight w:val="173"/>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 of gallons)</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and Propane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Three months ended December 31,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colder temperatures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customer attrition</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Three months ended December 31, 2025</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percentage by volume of total home heating oil and propane sold to residential variable-price customers, residential price-protected customers and commercial/industrial/other customers for the three months ended December 31, 2025, compared to the three months ended December 31, 2024:</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 volume sold</w:t>
            </w: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2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0.8 million gallons, or 2.6%, to 29.9 million gallons for the three months ended December 31, 2025, compared to 30.7 million gallons for the three months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product sales increased by $48.5 million, or 12.1%, to $448.0 million, compared to $399.5 million for the three months ended December 31, 2024, due to an increase in total volume sold of 9.4% and an increase in average selling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installation and service revenue increased by $2.7 million, or 3.0%, to $91.3 million, compared to $88.6 million for the three months ended December 31, 2024, driven by $0.8 million of sales generated from recent acquisitions and the remainder was driven by a concerted effort to expand these offerings to our customers as well as price increases.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December 31, 2025, cost of product increased $19.8 million, or 8.0%, to $268.5 million, compared to $248.7 million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December 31, 2024, due to an increase in total volume sold of 9.4% slightly offset by a decrease in wholesale product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$0.0290 per gallon, or 1.3% calculated on a weighted average basis. Product volumes and wholesale product cost include heating oil, propane, motor fuels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petroleum products.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Product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three months ended December 31, 2025, increased by $0.0971 per gallon, or 5.7%, to $1.8010 per gallon, from $1.7039 per gallon during the three months ended December 31, 2024. Going forward, we cannot assume that per gallon margins realized during the three months ended December 31, 2025, are sustainable especially with the volatility in heating oil and propane costs. Product sales and cost of product include home heating oil, propane, other petroleum products and liquidated damages billings.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6"/>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2"/>
                <w:szCs w:val="12"/>
                <w:color w:val="auto"/>
              </w:rPr>
            </w:pPr>
          </w:p>
        </w:tc>
        <w:tc>
          <w:tcPr>
            <w:tcW w:w="2400" w:type="dxa"/>
            <w:vAlign w:val="bottom"/>
            <w:gridSpan w:val="5"/>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r>
      <w:tr>
        <w:trPr>
          <w:trHeight w:val="117"/>
        </w:trPr>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r>
      <w:tr>
        <w:trPr>
          <w:trHeight w:val="173"/>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26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100" w:type="dxa"/>
            <w:vAlign w:val="bottom"/>
          </w:tcPr>
          <w:p>
            <w:pPr>
              <w:spacing w:after="0"/>
              <w:rPr>
                <w:sz w:val="15"/>
                <w:szCs w:val="15"/>
                <w:color w:val="auto"/>
              </w:rPr>
            </w:pPr>
          </w:p>
        </w:tc>
      </w:tr>
      <w:tr>
        <w:trPr>
          <w:trHeight w:val="230"/>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6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6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372.6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3.9690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322.9</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3.9178</w:t>
            </w:r>
          </w:p>
        </w:tc>
      </w:tr>
      <w:tr>
        <w:trPr>
          <w:trHeight w:val="216"/>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6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2.1680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182.4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2.2139</w:t>
            </w: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1.7039</w:t>
            </w: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73"/>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Gallon</w:t>
            </w:r>
          </w:p>
        </w:tc>
      </w:tr>
      <w:tr>
        <w:trPr>
          <w:trHeight w:val="20"/>
        </w:trPr>
        <w:tc>
          <w:tcPr>
            <w:tcW w:w="8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580" w:type="dxa"/>
            <w:vAlign w:val="bottom"/>
            <w:shd w:val="clear" w:color="auto" w:fill="CFF0FC"/>
          </w:tcPr>
          <w:p>
            <w:pPr>
              <w:spacing w:after="0"/>
              <w:rPr>
                <w:sz w:val="19"/>
                <w:szCs w:val="19"/>
                <w:color w:val="auto"/>
              </w:rPr>
            </w:pPr>
          </w:p>
        </w:tc>
        <w:tc>
          <w:tcPr>
            <w:tcW w:w="16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6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75.4</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2.5247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76.6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2.4968</w:t>
            </w:r>
          </w:p>
        </w:tc>
      </w:tr>
      <w:tr>
        <w:trPr>
          <w:trHeight w:val="216"/>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6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2.1769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2.1595</w:t>
            </w: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0.3478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0.3373</w:t>
            </w: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Product</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360" w:type="dxa"/>
            <w:vAlign w:val="bottom"/>
            <w:gridSpan w:val="3"/>
            <w:shd w:val="clear" w:color="auto" w:fill="CFF0FC"/>
          </w:tcPr>
          <w:p>
            <w:pPr>
              <w:spacing w:after="0"/>
              <w:rPr>
                <w:sz w:val="18"/>
                <w:szCs w:val="18"/>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4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4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2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4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-2228215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-2211070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-2228215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-2211070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-1927860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-1927860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-1927860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-1268095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-1250950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-1268095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-1250950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-967740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-967740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-967740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total product gross profit was $179.5 million, which was $28.7 million, or 19.0%, higher than the three months ended December 31, 2024, due to an increase in home heating oil and propane volume sold ($19.5 million), increase in home heating oil and propane margins ($9.1 million) and an increase in gross profit from other petroleum products ($0.1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Total installation costs, for the three months ended December 31, 2025, increased by $0.4 million or 1.3%, to $30.7 million, compared to $30.3 million of installation costs for the three months ended December 31, 2024. This increase was largely due to higher installation sales. Installation costs as a percentage of installation sales were 77.4% for the three months ended December 31, 2025, and 79.9% for the three months ended December 31, 2024. The gross profit from installation increased by $1.4 million, compared to the three months ended December 31, 2024.</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Service expense increased by $3.6 million, or 7.0%, to $55.0 million for the three months ended December 31, 2025, representing 106.5% of service sales, versus $51.4 million, or 101.3% of service sales, for the three months ended December 31, 2024. The increase in service expense was driven by higher service call volume due to the colder weather and increase in propane tank sets. A large proportion of our service expenses are incurred under fixed-fee prepaid service contract arrangements, therefore trends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service expenses may not directly correlate to trends in the related revenues. The loss from service increased by $2.7 million compared to the three months ended December 31, 2024.</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realized a combined gross profit from service and installation of $5.6 million for the three months ended December 31, 2025 compared to a gross profit of $6.9 million for the three months ended December 31, 2024, a $1.3 million decrease. While installation gross profit increased by $1.4 million, the service gross profit loss increased by $2.7 million due to demand for service and an increase in propane tank 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 change in the fair value of derivative instruments resulted in a $5.4 million charge as a decrease in the market value for unexpired hedges (a $6.1 million charge) more than offset a $0.7 million credit due to the expiration of certain hedged positions.</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change in the fair value of derivative instruments resulted in a $5.3 million credit as a decrease in the market value for unexpired hedges (a $1.2 million charge) was more than offset by a $6.5 million credit due to the expiration of certain hedged positions.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December 31, 2025, delivery and branch expense increased $10.6 million, or 10.7%, to $109.9 million,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 million for the three months ended December 31, 2024. During the three months ended December 31, 2025, the Company's weather hedge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a $5.0 million increase in expense. The temperatures experienced from November 2025 through December 2025 were colder than the strike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 and, therefore, the Company recorded an expense under those weather hedge contracts of $5.0 million, as compared to no liability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December 31, 2024. The increase was also driven by a $3.5 million increase in net base business expenses and $2.1 million of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recent acquisitions. The increase in the base business expenses was driven by a $2.7 million, or 9.1%, increase in delivery expenses due to a 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gallon, or 9.2%, increase in home heating oil and propane volume sold in the base business, and a $0.8 million or 0.8% in other net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depreciation and amortization expenses increased $0.9 million, or 10.8%, to $8.8 million, compared to $7.9 million for the three months ended December 31, 2024, primarily due to acquisitions and slightly offset by intangible assets that fully amortized in the prior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35" w:lineRule="exact"/>
        <w:rPr>
          <w:sz w:val="20"/>
          <w:szCs w:val="20"/>
          <w:color w:val="auto"/>
        </w:rPr>
      </w:pPr>
    </w:p>
    <w:p>
      <w:pPr>
        <w:ind w:right="180" w:firstLine="481"/>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2025, general and administrative expenses increased by $0.4 million or 5.7%, to $7.6 million, from $7.2 million for the three months ended December 31, 2024, due primarily a $0.7 million increase in salaries and benefits expenses including profit sharing expense, that was partially offset by a $0.3 million decrease in legal, professional and other expenses. The Company accrues approximately 6.0% of Adjusted EBITDA as defined in its profit sharing plan for distribution to its employees. This amount is payable if/when the Company achieves Adjusted EBITDA of at least 70% of the amount budgeted. The dollar amount of the profit sharing pool adjusts accordingly based on Adjusted EBITDA levels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finance charge income increased $0.2 million or 29.9%, to $0.9 million, from $0.7 million for the three months ended December 31, 2024, due to higher late customer payment charges on aged receivables.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2025, interest expense, net increased by $0.8 million, or 26.9%, to $3.8 million compared to $3.0 million for the three months ended December 31, 2024. The year-over-year change was attributable to a reduction in interest income of $1.0 million due to lower invested cash balances of $78.0 million. In September 2024, the company increased its term loan and prefunded an acquisition that closed in January 2025 for $66.9 million. Gross interest expense decreased by $0.2 million as an increase in average borrowings of $4.3 million from $210.7 million for the three months ended December 31, 2024, to $215.0 million for the three months ended December 31, 2025, was more than offset by a decline in the weighted average interest rate from 7.2% for the three months ended December 31, 2024 to 6.9% for the three months ended December 31, 2025. To hedge against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color w:val="auto"/>
        </w:rPr>
        <w:t>rising interest rates, the Company utilizes interest rate swaps. At December 31, 2025, approximately 40% of borrowings under Star's variable-rate long term debt were not subject to interest rate changes as a result of interest rate swaps.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amortization of debt issuance cost was $0.3 million, essentially unchanged from the three months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the Company’s income tax expense increased by $1.4 million to $14.4 million, from $13.0 million for the three months ended December 31, 2024. The increase in the income tax expense was driven by a $4.2 million increase in income before income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2025, Star’s net income increased $2.9 million, to $35.8 million, compared to the three months ended December 31, 2024, primarily due to a $16.5 million increase in the Adjusted EBITDA, that was partially offset by an unfavorable change in the fair value of derivative instruments of $10.7 million, a $1.4 million increase in income tax expense, a $0.9 million increase in depreciation and amortization expenses and a $0.8 million increase in net interest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2025, Adjusted EBITDA increased $16.5 million, to $68.4 million, compared to the three months ended December 31, 2024, primarily due to a $16.8 million increase in Adjusted EBITDA in the base business and a $4.7 million increase in Adjusted EBITDA from recent acquisitions that was partially offset by a $5.0 million increase in expense related to the Company's weather hedge contracts. The increase in Adjusted EBITDA in the base business was driven by higher home heating oil and propane volume sold due to colder weather, an increase in home heating oil and propane per gallon margins, higher installation profitability partially reduced by an increase in operating expenses and an increase in the demand for service also due to colder weather.</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gridSpan w:val="4"/>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40" w:type="dxa"/>
            <w:vAlign w:val="bottom"/>
            <w:gridSpan w:val="6"/>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66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40" w:type="dxa"/>
            <w:vAlign w:val="bottom"/>
            <w:gridSpan w:val="2"/>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32,884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14,367</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3,819</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3,011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(a)</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57,122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51,864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4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Add / (subtract)</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(14,367)</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(3,819)</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provision for losses on accounts receivable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accounts receivables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(95,827)</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(81,476)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(22,537)</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(26,670)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customer credit balances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(27,547)</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deferred taxes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1,142</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21,103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(55,182)</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vMerge w:val="continue"/>
          </w:tcPr>
          <w:p>
            <w:pPr>
              <w:spacing w:after="0"/>
              <w:rPr>
                <w:sz w:val="17"/>
                <w:szCs w:val="17"/>
                <w:color w:val="auto"/>
              </w:rPr>
            </w:pPr>
          </w:p>
        </w:tc>
        <w:tc>
          <w:tcPr>
            <w:tcW w:w="4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(4,959)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(4,652)</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p>
        </w:tc>
        <w:tc>
          <w:tcPr>
            <w:tcW w:w="492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55,315</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673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4920" w:type="dxa"/>
            <w:vAlign w:val="bottom"/>
            <w:tcBorders>
              <w:top w:val="single" w:sz="8" w:color="CFF0FC"/>
            </w:tcBorders>
            <w:gridSpan w:val="3"/>
          </w:tcPr>
          <w:p>
            <w:pPr>
              <w:ind w:left="384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-1259205</wp:posOffset>
            </wp:positionV>
            <wp:extent cx="431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-1242060</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-1259205</wp:posOffset>
            </wp:positionV>
            <wp:extent cx="431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-1242060</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-933450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-916305</wp:posOffset>
            </wp:positionV>
            <wp:extent cx="431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520" w:right="4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5"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w:t>
      </w:r>
    </w:p>
    <w:p>
      <w:pPr>
        <w:spacing w:after="0" w:line="68" w:lineRule="exact"/>
        <w:rPr>
          <w:sz w:val="20"/>
          <w:szCs w:val="20"/>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7" w:lineRule="exact"/>
        <w:rPr>
          <w:rFonts w:ascii="Times New Roman" w:cs="Times New Roman" w:eastAsia="Times New Roman" w:hAnsi="Times New Roman"/>
          <w:sz w:val="18"/>
          <w:szCs w:val="18"/>
          <w:color w:val="auto"/>
        </w:rPr>
      </w:pPr>
    </w:p>
    <w:p>
      <w:pPr>
        <w:ind w:left="1020" w:right="320" w:hanging="47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 EBITDA and Adjusted EBITDA do not reflect the cash required to pay taxes.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fiscal quarters) when customer payments exceed the cost of deliveries.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2025, cash used in operating activities decreased $9.4 million, to $55.2 million, compared to $64.6 million during the three months ended December 31, 2024, as a $25.7 million increase in accounts receivable due from customers on a comparable basis (including accounts receivable and customer credit balance accounts), more than offset a $17.4 million increase in cash flows from operations, $5.5 million less cash required for collateral at derivative counterparties, $4.1 million less cash used for inventory purchases, a $5.0 million increase in cash from the timing of accounts payable payments and $3.1 million of other changes in working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complete any acquisitions during the three months ended December 31, 2025.</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December 31, 2025, our capital expenditures totaled $4.6 million, as we invested in computer hardware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refurbished certain physical plants ($1.7 million), expanded our propane operations ($0.2 million) and made additions to our fleet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($2.3 million).</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$0.8 million of earnings were reinvested into an irrevocable trust established in connection with our captive insurance company. The cash deposited into the trust is shown on our balance sheet as captive insurance collateral and, correspondingly, reduced cash on our balance sheet. We believe that investments into the irrevocable trust lower our letter of credit fees, increase interest income on invested cash balances, and provide us with certain tax advantages attributable to a captive insurance company.</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acquired a heating oil business for approximately $0.7 million in cash. The gross purchase price was allocated $0.8 million to intangible assets, $0.4 million to goodwill, $0.3 million to fixed assets and reduced by $0.8 million of negative working capital. The Company also sold certain assets for cash proceeds of $0.3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capital expenditures for the three months ended December 31, 2024 totaled $4.0 million, as we invested in computer hardware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refurbished certain physical plants ($0.7 million), expanded our propane operations ($0.3 million) and made additions to our fleet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($2.6 million).</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December 31, 2024, $0.4 million of earnings were reinvested into the irrevocable trust.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we repaid $5.3 million of our term loan, borrowed $71.9 million under our revolving credit facility, repurchased 0.4 million Common Units, at an average price paid of $11.87 per unit, for $4.5 million, in connection with our unit repurchase plan, and paid distributions of $6.1 million to our Common Unit holders and $0.4 million to our General Partner unit holders (including $0.4 million of incentive distributions as provided in our Partnership Agreement).</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we borrowed $7.8 million under our revolving credit facility, repurchased fewer than 0.1 million Common Units, at an average price paid of $11.20 per unit, for $0.1 million, in connection with our unit repurchase plan, and paid distributions of $6.0 million to our Common Unit holders and $0.4 million to our General Partner unit holders (including $0.3 million of incentive distributions as provided in our Partnership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SOURCES OF LIQUIDITY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Comparatives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tariff regimes, weather, the ability to collect current and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t>accounts receivable, the ability to pass on the full impact of high product costs to customers, the effects of high net customer attrition, conservation, inflation and other factors. Capital requirements, at least in the near term, are expected to be provided by cash flows from operating activities, cash on hand as of December 31, 2025 ($19.9 million) or a combination thereof. We believe that these cash sources will also be sufficient to satisfy our capital requirements in the longer-term. However, if they are not sufficient, we anticipate that working capital will be financed by our revolving credit facility, as discussed below, and from subsequent seasonal reductions in inventory and accounts receivable. As of December 31, 2025, we had accounts receivable of $198.2 million of which $154.9 million is due from residential customers and $43.3 million is due from commercial customers. Our ability to borrow from our bank group is based in part on the aging of these accounts receivables. If these balances do not meet the eligibility tests as defined in our credit agreement, our ability to borrow will be reduced and our anticipated cash flow from operating activities will also be reduced. As of December 31, 2025, we had $71.9 million of borrowings under the revolving credit facility, $183.8 million outstanding under our term loan, $5.1 million in letters of credit outstanding and $9.8 million hedge positions were secured under the credit agreement.</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if Availability (as defined in the credit agreement) is less than the greater of (a) 12.5% of the Line Cap (lesser of the aggregate revolving commitment and the borrowing base) which was $31.9 million as of December 31, 2025 and (b) $35.0 million, we must maintain a fixed charge coverage ratio of 1.10. We are also required to maintain a senior secured leverage ratio that cannot be more than 3.0 as of June 30th or September 30th, and no more than 5.5 as of December 31st or March 31st. As of December 31, 2025, Availability, as defined in the credit agreement, as amended, was $168.6 million and we were in compliance with the financial covenants.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Maintenance capital expenditures for the remainder of fiscal 2026 are estimated to be approximately $8.2 million to $9.2 million, excluding the capital requirements for leased fleet. In addition, we plan to invest $0.5 million to $0.7 million in our propane operations. If, and only to the extent that, cash distributions to our unitholders remain at the current quarterly level of $0.1850 per unit for the balance of fiscal 2026, the Company would make aggregate payments of approximately $18.2 million to Common Unit holders, $1.2 million to our General Partner (including $1.1 million of incentive distribution as provided for in our Partnership Agreement) and $1.1 million to management pursuant to the management incentive compensation plan which provides for certain members of management to receive incentive distributions that would otherwise be payable to the General Partner. The amount of cash distributions payable to our unitholders, if any, depends on the amount of cash flow generated by the Company and our compliance with certain financial covenants under our credit agreement. Under the terms of our credit agreement, our term loan is repayable in quarterly payments of $5.3 million and we expect to pay $15.8 million for the remainder of fiscal 2026.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Contractual Obligations and Off-Balance Sheet Arrangements since our September 30, 2025 Form 10-K disclosure and therefore, the table has not been included in this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for discussion regarding the impact of accounting standards that were recently adopted and issued but not yet effective,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Critical Accounting 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there have been no significant changes to our critical accounting policy and critical accounting estimates during the three months ended December 31, 2025, as compared to those we disclosed in Management’s Discussion and Analysis of Financial Condition and Results of Operations included in our annual report on Form 10-K for the fiscal year ended September 30, 2025. While our critical accounting policies and estimates have not changed in any significant way during the three months ended December 31, 2025, the following provides disclosures about our critical accounting policy and critical accounting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the fair value of our derivative instruments using estimates determined by our counterparties and subsequently evaluated them internally using established index prices and other sources. These values are based upon, among other things, futures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2025, we had approximately $78.8 million of self-insurance liabilities. The ultimate resolution of these claims could differ materially from the assumptions used to calculate the self-insurance liabilities, which could have a material adverse effect on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primarily through our bank credit facilities. We utilize these borrowings to meet our working capital needs.</w:t>
      </w:r>
    </w:p>
    <w:p>
      <w:pPr>
        <w:spacing w:after="0" w:line="117"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At December 31, 2025, we had outstanding borrowings totaling $255.6 million that are subject to variable interest rates under our credit agreement, and $73.6 million of interest rate swaps to mitigate exposure to interest rate risk associated with variable interest rates. In the event that interest rates associated with this facility were to increase 100 basis points, the after tax impact on annual future cash flows would be a decrease of $1.3 million.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regularly use derivative financial instruments to manage our exposure to commodity price risk related to changes in the current and future market price of home heating oil and vehicle fuels.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December 31, 2025, the potential impact on our hedging activity would be to increase the fair market value of these outstanding derivatives by $6.8 million from $(8.5) million to a fair market value of $(1.7) million; and conversely a hypothetical ten percent decrease in the cost of product would decrease the fair market value of these outstanding derivatives by $3.9 million to a fair market value of $(12.4) million.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broader discussion of risks, including those related to market conditions, please refer to Part I Item 1A "Risk Factors in our Fiscal 2025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The General Partner’s chief executive officer and chief financial officer evaluated the effectiveness of the Company’s disclosure controls and procedures (as that term is defined in Rule 13a-15(e) of the Securities Exchange Act of 1934, as amended) as of December 31, 2025. Based on that evaluation, such chief executive officer and chief financial officer concluded that the Company’s disclosure controls and procedures were effective as of December 31, 2025 at the reasonable level of assurance. For purposes of Rule 13a-15(e), the term disclosure controls and procedures means the controls and other procedures of an issuer that are designed to ensure that information required to be disclosed by the issuer in the reports that it files or submits under the Securities Exchange Act of 1934, as amended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occurred during the Company’s most recent fiscal quarter that has materially affected or is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chief executive officer and chief financial officer of the General Partner have concluded, as of December 31, 2025, that our disclosure controls and procedures were effective in achieving that level of reasonable assurance.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the opinion of management, we are not a party to any litigation, which individually or in the aggregate could reasonably be expected to have a material adverse effect on our results of operations, financial position or liquidity.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investors should carefully review and consider the information regarding certain factors, which could materially affect our business, results of operations, financial condition and cash flows set forth in Part I Item 1A. “Risk Factors” in our Fiscal 2025 Form 10-K report. There have been no material changes since the Company’s most recent Form 10-K report. We may disclose changes to such risk factors or disclose additional risk factors from time to time in our future filings with the SEC.</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 of Equity Securities and Use of Proceeds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Purchase of equity securities by the issuer. Note 4 to the Condensed Consolidated Financial Statements concerning the Company’s repurchase of Common Units during the three months ended December 31, 2025 is incorporated into this Item 2 by reference.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7" w:lineRule="exact"/>
        <w:rPr>
          <w:rFonts w:ascii="Times New Roman" w:cs="Times New Roman" w:eastAsia="Times New Roman" w:hAnsi="Times New Roman"/>
          <w:sz w:val="18"/>
          <w:szCs w:val="18"/>
          <w:color w:val="auto"/>
        </w:rPr>
      </w:pPr>
    </w:p>
    <w:p>
      <w:pPr>
        <w:ind w:right="140" w:firstLine="517"/>
        <w:spacing w:after="0" w:line="282" w:lineRule="auto"/>
        <w:tabs>
          <w:tab w:leader="none" w:pos="7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quarter ended December 31, 2025, no director or Section 16 officer adopted or terminated any Rule 10b5-1 trading plans and arrangements or non-Rule 10b5-1 trading plans and arrangements.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9" w:lineRule="exact"/>
        <w:rPr>
          <w:sz w:val="20"/>
          <w:szCs w:val="20"/>
          <w:color w:val="auto"/>
        </w:rPr>
      </w:pPr>
    </w:p>
    <w:p>
      <w:pPr>
        <w:ind w:left="900" w:hanging="51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Included Within:</w:t>
      </w: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Amended and Restated Certificate of Limited Partnership (Incorporated by reference to an exhibit to the Registrant’s Quarterly Report on</w:t>
              </w:r>
            </w:hyperlink>
          </w:p>
        </w:tc>
      </w:tr>
      <w:tr>
        <w:trPr>
          <w:trHeight w:val="196"/>
        </w:trPr>
        <w:tc>
          <w:tcPr>
            <w:tcW w:w="1000" w:type="dxa"/>
            <w:vAlign w:val="bottom"/>
          </w:tcPr>
          <w:p>
            <w:pPr>
              <w:spacing w:after="0"/>
              <w:rPr>
                <w:sz w:val="17"/>
                <w:szCs w:val="17"/>
                <w:color w:val="auto"/>
              </w:rPr>
            </w:pPr>
          </w:p>
        </w:tc>
        <w:tc>
          <w:tcPr>
            <w:tcW w:w="40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Form 10-Q filed with the Commission on May 9, 2006.)</w:t>
              </w:r>
            </w:hyperlink>
          </w:p>
        </w:tc>
        <w:tc>
          <w:tcPr>
            <w:tcW w:w="20" w:type="dxa"/>
            <w:vAlign w:val="bottom"/>
            <w:tcBorders>
              <w:bottom w:val="single" w:sz="8" w:color="0000EE"/>
            </w:tcBorders>
          </w:tcPr>
          <w:p>
            <w:pPr>
              <w:spacing w:after="0"/>
              <w:rPr>
                <w:sz w:val="17"/>
                <w:szCs w:val="17"/>
                <w:color w:val="auto"/>
              </w:rPr>
            </w:pPr>
          </w:p>
        </w:tc>
        <w:tc>
          <w:tcPr>
            <w:tcW w:w="5880" w:type="dxa"/>
            <w:vAlign w:val="bottom"/>
            <w:gridSpan w:val="16"/>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Certificate of Amendment to Amended and Restated Certificate of Limited Partnership (Incorporated by reference to an exhibit to the</w:t>
              </w:r>
            </w:hyperlink>
          </w:p>
        </w:tc>
        <w:tc>
          <w:tcPr>
            <w:tcW w:w="28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2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Registrant’s Current Report on Form 8-K with the Commission on October 27, 2017.)</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12"/>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Third Amended and Restated Agreement of Limited Partnership (Incorporated by reference to an exhibit to the Registrant’s Current</w:t>
              </w:r>
            </w:hyperlink>
          </w:p>
        </w:tc>
        <w:tc>
          <w:tcPr>
            <w:tcW w:w="4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Report on Form 8-K with the Commission on November 6, 2017.)</w:t>
              </w:r>
            </w:hyperlink>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8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1 to Third Amended and Restated Agreement of Limited Partnership of Star Group, L.P. (Incorporated by reference to</w:t>
              </w:r>
            </w:hyperlink>
          </w:p>
        </w:tc>
        <w:tc>
          <w:tcPr>
            <w:tcW w:w="1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an exhibit to the Registrant’s Current Report on Form 8-K filed with the Commission on March 24, 2023.)</w:t>
              </w:r>
            </w:hyperlink>
          </w:p>
        </w:tc>
        <w:tc>
          <w:tcPr>
            <w:tcW w:w="20" w:type="dxa"/>
            <w:vAlign w:val="bottom"/>
            <w:tcBorders>
              <w:bottom w:val="single" w:sz="8" w:color="0000EE"/>
            </w:tcBorders>
          </w:tcPr>
          <w:p>
            <w:pPr>
              <w:spacing w:after="0"/>
              <w:rPr>
                <w:sz w:val="17"/>
                <w:szCs w:val="17"/>
                <w:color w:val="auto"/>
              </w:rPr>
            </w:pPr>
          </w:p>
        </w:tc>
        <w:tc>
          <w:tcPr>
            <w:tcW w:w="2260" w:type="dxa"/>
            <w:vAlign w:val="bottom"/>
            <w:gridSpan w:val="7"/>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Unit Purchase Rights Agreement dated as of March 24, 2023 by and between the Registrant and Computershare Trust Company, N.A., as</w:t>
              </w:r>
            </w:hyperlink>
          </w:p>
        </w:tc>
      </w:tr>
      <w:tr>
        <w:trPr>
          <w:trHeight w:val="196"/>
        </w:trPr>
        <w:tc>
          <w:tcPr>
            <w:tcW w:w="1000" w:type="dxa"/>
            <w:vAlign w:val="bottom"/>
          </w:tcPr>
          <w:p>
            <w:pPr>
              <w:spacing w:after="0"/>
              <w:rPr>
                <w:sz w:val="17"/>
                <w:szCs w:val="17"/>
                <w:color w:val="auto"/>
              </w:rPr>
            </w:pPr>
          </w:p>
        </w:tc>
        <w:tc>
          <w:tcPr>
            <w:tcW w:w="91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rights agent (which includes the form of Rights Certificate as Exhibit A thereto) (Incorporated by reference as an exhibit to the</w:t>
              </w:r>
            </w:hyperlink>
          </w:p>
        </w:tc>
        <w:tc>
          <w:tcPr>
            <w:tcW w:w="78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Registrant's Form 8-A filed with the Commission on March 24, 2023.)</w:t>
              </w:r>
            </w:hyperlink>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Star Group, L.P., pursuant to Rule 13a-14(a)/15d-14(a).</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Star Group, L.P., pursuant to Rule 13a-14(a)/15d-14(a).</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980" w:type="dxa"/>
            <w:vAlign w:val="bottom"/>
            <w:gridSpan w:val="9"/>
          </w:tcPr>
          <w:p>
            <w:pPr>
              <w:spacing w:after="0"/>
              <w:rPr>
                <w:sz w:val="24"/>
                <w:szCs w:val="24"/>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1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00" w:right="20" w:hanging="1002"/>
        <w:spacing w:after="0" w:line="261"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Star Group, L.P. Quarterly Report on Form 10-Q for the quarter ended December 31, 2025, formatted in Inline Extensible Business Reporting Language (iXBRL): (i) the Condensed Consolidated Balance Sheets, (ii) the Condensed Consolidated Statements of Operations, (iii) the Condensed Consolidated Statements of Comprehensive Income, (iv) the Condensed Consolidated Statements of Partners’ Capital, (v) the Condensed Consolidated Statements of Cash Flows and (vi) related notes.</w:t>
      </w: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r>
    </w:tbl>
    <w:p>
      <w:pPr>
        <w:spacing w:after="0" w:line="103" w:lineRule="exact"/>
        <w:rPr>
          <w:sz w:val="20"/>
          <w:szCs w:val="20"/>
          <w:color w:val="auto"/>
        </w:rPr>
      </w:pPr>
    </w:p>
    <w:p>
      <w:pPr>
        <w:ind w:right="3440" w:firstLine="198"/>
        <w:spacing w:after="0" w:line="500" w:lineRule="auto"/>
        <w:tabs>
          <w:tab w:leader="none" w:pos="11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1" w:lineRule="exact"/>
        <w:rPr>
          <w:rFonts w:ascii="Times New Roman" w:cs="Times New Roman" w:eastAsia="Times New Roman" w:hAnsi="Times New Roman"/>
          <w:sz w:val="18"/>
          <w:szCs w:val="18"/>
          <w:color w:val="auto"/>
        </w:rPr>
      </w:pPr>
    </w:p>
    <w:p>
      <w:pPr>
        <w:ind w:right="80" w:firstLine="8"/>
        <w:spacing w:after="0" w:line="257" w:lineRule="auto"/>
        <w:tabs>
          <w:tab w:leader="none" w:pos="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thereunto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Kestrel Heat LLC AS GENERAL PARTNER</w:t>
      </w:r>
    </w:p>
    <w:p>
      <w:pPr>
        <w:spacing w:after="0" w:line="246" w:lineRule="exact"/>
        <w:rPr>
          <w:sz w:val="20"/>
          <w:szCs w:val="20"/>
          <w:color w:val="auto"/>
        </w:rPr>
      </w:pPr>
    </w:p>
    <w:p>
      <w:pPr>
        <w:ind w:left="1380"/>
        <w:spacing w:after="0"/>
        <w:tabs>
          <w:tab w:leader="none" w:pos="5580" w:val="left"/>
          <w:tab w:leader="none" w:pos="95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18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c>
          <w:tcPr>
            <w:tcW w:w="16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32"/>
        </w:trPr>
        <w:tc>
          <w:tcPr>
            <w:tcW w:w="33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Treasurer and Secretary of Kestrel Heat LLC</w:t>
            </w:r>
          </w:p>
        </w:tc>
        <w:tc>
          <w:tcPr>
            <w:tcW w:w="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3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9"/>
              </w:rPr>
              <w:t>Richard F. Ambury</w:t>
            </w:r>
          </w:p>
        </w:tc>
        <w:tc>
          <w:tcPr>
            <w:tcW w:w="180" w:type="dxa"/>
            <w:vAlign w:val="bottom"/>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23"/>
                <w:szCs w:val="23"/>
                <w:color w:val="auto"/>
              </w:rPr>
            </w:pPr>
          </w:p>
        </w:tc>
        <w:tc>
          <w:tcPr>
            <w:tcW w:w="4440" w:type="dxa"/>
            <w:vAlign w:val="bottom"/>
            <w:tcBorders>
              <w:bottom w:val="single" w:sz="8" w:color="auto"/>
            </w:tcBorders>
          </w:tcPr>
          <w:p>
            <w:pPr>
              <w:jc w:val="right"/>
              <w:ind w:right="1913"/>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23"/>
                <w:szCs w:val="23"/>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3"/>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Cory A. Czekanski</w:t>
            </w:r>
          </w:p>
        </w:tc>
        <w:tc>
          <w:tcPr>
            <w:tcW w:w="18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Controller of Kestrel Heat LLC</w:t>
            </w:r>
          </w:p>
        </w:tc>
        <w:tc>
          <w:tcPr>
            <w:tcW w:w="16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32"/>
        </w:trPr>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Cory A. Czekanski</w:t>
            </w:r>
          </w:p>
        </w:tc>
        <w:tc>
          <w:tcPr>
            <w:tcW w:w="18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360" w:type="dxa"/>
            <w:vAlign w:val="bottom"/>
          </w:tcPr>
          <w:p>
            <w:pPr>
              <w:spacing w:after="0"/>
              <w:rPr>
                <w:sz w:val="24"/>
                <w:szCs w:val="24"/>
                <w:color w:val="auto"/>
              </w:rPr>
            </w:pPr>
          </w:p>
        </w:tc>
        <w:tc>
          <w:tcPr>
            <w:tcW w:w="4620" w:type="dxa"/>
            <w:vAlign w:val="bottom"/>
            <w:gridSpan w:val="2"/>
          </w:tcPr>
          <w:p>
            <w:pPr>
              <w:jc w:val="right"/>
              <w:ind w:right="2173"/>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Star Group, L.P. (“Registrant”);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Star Group, L.P. (“Registrant”);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Richard F. Ambury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Star Group, L.P. (the “Company”) on Form 10-Q for the quarterly period ended December 31, 2025,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STAR GROUP, L.P.</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KESTREL HEAT, LLC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9" w:lineRule="exact"/>
        <w:rPr>
          <w:sz w:val="20"/>
          <w:szCs w:val="20"/>
          <w:color w:val="auto"/>
        </w:rPr>
      </w:pPr>
    </w:p>
    <w:p>
      <w:pPr>
        <w:ind w:left="6660"/>
        <w:spacing w:after="0"/>
        <w:tabs>
          <w:tab w:leader="none" w:pos="8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1" w:name="page42"/>
    <w:bookmarkEnd w:id="4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Star Group, L.P. (the “Company”) on Form 10-Q for the quarterly period ended December 31, 2025,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0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STAR GROUP, L.P.</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708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By:  KESTREL HEAT, LLC (General Partner)</w:t>
            </w:r>
          </w:p>
        </w:tc>
        <w:tc>
          <w:tcPr>
            <w:tcW w:w="0" w:type="dxa"/>
            <w:vAlign w:val="bottom"/>
          </w:tcPr>
          <w:p>
            <w:pPr>
              <w:spacing w:after="0"/>
              <w:rPr>
                <w:sz w:val="1"/>
                <w:szCs w:val="1"/>
                <w:color w:val="auto"/>
              </w:rPr>
            </w:pPr>
          </w:p>
        </w:tc>
      </w:tr>
      <w:tr>
        <w:trPr>
          <w:trHeight w:val="432"/>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94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0" w:type="dxa"/>
            <w:vAlign w:val="bottom"/>
          </w:tcPr>
          <w:p>
            <w:pPr>
              <w:spacing w:after="0"/>
              <w:rPr>
                <w:sz w:val="1"/>
                <w:szCs w:val="1"/>
                <w:color w:val="auto"/>
              </w:rPr>
            </w:pPr>
          </w:p>
        </w:tc>
      </w:tr>
      <w:tr>
        <w:trPr>
          <w:trHeight w:val="187"/>
        </w:trPr>
        <w:tc>
          <w:tcPr>
            <w:tcW w:w="416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rPr>
              <w:t>Richard F. Ambury</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Star Group, L.P.</w:t>
            </w:r>
          </w:p>
        </w:tc>
        <w:tc>
          <w:tcPr>
            <w:tcW w:w="0" w:type="dxa"/>
            <w:vAlign w:val="bottom"/>
          </w:tcPr>
          <w:p>
            <w:pPr>
              <w:spacing w:after="0"/>
              <w:rPr>
                <w:sz w:val="1"/>
                <w:szCs w:val="1"/>
                <w:color w:val="auto"/>
              </w:rPr>
            </w:pPr>
          </w:p>
        </w:tc>
      </w:tr>
      <w:tr>
        <w:trPr>
          <w:trHeight w:val="1222"/>
        </w:trPr>
        <w:tc>
          <w:tcPr>
            <w:tcW w:w="4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lvl w:ilvl="1">
      <w:lvlJc w:val="left"/>
      <w:lvlText w:val="(%2)"/>
      <w:numFmt w:val="lowerLetter"/>
      <w:start w:val="1"/>
    </w:lvl>
  </w:abstractNum>
  <w:abstractNum w:abstractNumId="7">
    <w:nsid w:val="25E45D32"/>
    <w:multiLevelType w:val="hybridMultilevel"/>
    <w:lvl w:ilvl="0">
      <w:lvlJc w:val="left"/>
      <w:lvlText w:val="%1)"/>
      <w:numFmt w:val="decimal"/>
      <w:start w:val="5"/>
    </w:lvl>
    <w:lvl w:ilvl="1">
      <w:lvlJc w:val="left"/>
      <w:lvlText w:val="%2"/>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15"/>
    </w:lvl>
    <w:lvl w:ilvl="1">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lvl w:ilvl="1">
      <w:lvlJc w:val="left"/>
      <w:lvlText w:val="%2"/>
      <w:numFmt w:val="decimal"/>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3"/>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12" Type="http://schemas.openxmlformats.org/officeDocument/2006/relationships/hyperlink" Target="https://www.sec.gov/Archives/edgar/data/0001002590/000119312506104640/dex31.htm" TargetMode="External"/><Relationship Id="rId313" Type="http://schemas.openxmlformats.org/officeDocument/2006/relationships/hyperlink" Target="https://www.sec.gov/Archives/edgar/data/0001002590/000119312517322706/d480849dex31.htm" TargetMode="External"/><Relationship Id="rId314" Type="http://schemas.openxmlformats.org/officeDocument/2006/relationships/hyperlink" Target="https://www.sec.gov/Archives/edgar/data/0001002590/000119312517334126/d489060dex31.htm" TargetMode="External"/><Relationship Id="rId315" Type="http://schemas.openxmlformats.org/officeDocument/2006/relationships/hyperlink" Target="https://www.sec.gov/Archives/edgar/data/1002590/000095017023009760/sgu-ex3_1.htm" TargetMode="External"/><Relationship Id="rId316" Type="http://schemas.openxmlformats.org/officeDocument/2006/relationships/hyperlink" Target="https://www.sec.gov/Archives/edgar/data/1002590/000095017023009740/sgu-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2026-02-04T15:31:06Z</dcterms:created>
  <dcterms:modified xsi:type="dcterms:W3CDTF">2026-02-04T15:31:06Z</dcterms:modified>
</cp:coreProperties>
</file>