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gu-20260210.htm"/>
      <w:bookmarkStart w:id="1" w:name="kssgu20260210"/>
      <w:bookmarkEnd w:id="0"/>
      <w:bookmarkEnd w:id="1"/>
      <w:r>
        <w:rPr/>
        <w:t> </w:t>
      </w:r>
    </w:p>
    <w:p>
      <w:pPr>
        <w:pStyle w:val="TextBody"/>
        <w:pBdr>
          <w:bottom w:val="single" w:sz="6" w:space="1" w:color="000000"/>
        </w:pBdr>
        <w:bidi w:val="0"/>
        <w:jc w:val="left"/>
        <w:rPr/>
      </w:pPr>
      <w:r>
        <w:rPr/>
        <w:t> </w:t>
      </w:r>
    </w:p>
    <w:p>
      <w:pPr>
        <w:pStyle w:val="TextBody"/>
        <w:bidi w:val="0"/>
        <w:spacing w:before="88"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 February 10, 2026</w:t>
      </w:r>
    </w:p>
    <w:p>
      <w:pPr>
        <w:pStyle w:val="TextBody"/>
        <w:bidi w:val="0"/>
        <w:spacing w:before="76" w:after="283"/>
        <w:jc w:val="center"/>
        <w:rPr>
          <w:rFonts w:ascii="Times New Roman" w:hAnsi="Times New Roman"/>
          <w:b/>
          <w:color w:val="000000"/>
          <w:sz w:val="48"/>
        </w:rPr>
      </w:pPr>
      <w:r>
        <w:rPr>
          <w:rFonts w:ascii="Times New Roman" w:hAnsi="Times New Roman"/>
          <w:b/>
          <w:color w:val="000000"/>
          <w:sz w:val="48"/>
        </w:rPr>
        <w:t>STAR GROUP, L.P.</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center"/>
        <w:rPr/>
      </w:pPr>
      <w:r>
        <w:rPr/>
        <w:t> </w:t>
      </w:r>
    </w:p>
    <w:tbl>
      <w:tblPr>
        <w:tblW w:w="4915" w:type="dxa"/>
        <w:jc w:val="left"/>
        <w:tblInd w:w="0" w:type="dxa"/>
        <w:tblLayout w:type="fixed"/>
        <w:tblCellMar>
          <w:top w:w="28" w:type="dxa"/>
          <w:left w:w="28" w:type="dxa"/>
          <w:bottom w:w="28" w:type="dxa"/>
          <w:right w:w="28" w:type="dxa"/>
        </w:tblCellMar>
      </w:tblPr>
      <w:tblGrid>
        <w:gridCol w:w="2071"/>
        <w:gridCol w:w="146"/>
        <w:gridCol w:w="1066"/>
        <w:gridCol w:w="14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001-14129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06-1437793</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2"/>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2"/>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2"/>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264" w:after="283"/>
        <w:jc w:val="center"/>
        <w:rPr>
          <w:rFonts w:ascii="Times New Roman" w:hAnsi="Times New Roman"/>
          <w:sz w:val="20"/>
        </w:rPr>
      </w:pPr>
      <w:r>
        <w:rPr>
          <w:rFonts w:ascii="Times New Roman" w:hAnsi="Times New Roman"/>
          <w:b/>
          <w:color w:val="000000"/>
          <w:sz w:val="20"/>
        </w:rPr>
        <w:t>9 West Broad Street</w:t>
      </w:r>
      <w:r>
        <w:rPr>
          <w:rFonts w:ascii="Times New Roman" w:hAnsi="Times New Roman"/>
          <w:color w:val="000000"/>
          <w:sz w:val="20"/>
        </w:rPr>
        <w:t xml:space="preserve"> </w:t>
      </w:r>
      <w:r>
        <w:rPr>
          <w:rFonts w:ascii="Times New Roman" w:hAnsi="Times New Roman"/>
          <w:b/>
          <w:color w:val="000000"/>
          <w:sz w:val="20"/>
        </w:rPr>
        <w:t>Suite 310, Stamford, CT</w:t>
      </w:r>
      <w:r>
        <w:rPr>
          <w:rFonts w:ascii="Times New Roman" w:hAnsi="Times New Roman"/>
          <w:color w:val="000000"/>
          <w:sz w:val="20"/>
        </w:rPr>
        <w:t xml:space="preserve"> </w:t>
      </w:r>
      <w:r>
        <w:rPr>
          <w:rFonts w:ascii="Times New Roman" w:hAnsi="Times New Roman"/>
          <w:b/>
          <w:color w:val="000000"/>
          <w:sz w:val="20"/>
        </w:rPr>
        <w:t>06902</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(Zip Code)</w:t>
      </w:r>
    </w:p>
    <w:p>
      <w:pPr>
        <w:pStyle w:val="TextBody"/>
        <w:bidi w:val="0"/>
        <w:spacing w:before="264" w:after="283"/>
        <w:jc w:val="center"/>
        <w:rPr>
          <w:rFonts w:ascii="Times New Roman" w:hAnsi="Times New Roman"/>
          <w:sz w:val="20"/>
        </w:rPr>
      </w:pPr>
      <w:r>
        <w:rPr>
          <w:rFonts w:ascii="Times New Roman" w:hAnsi="Times New Roman"/>
          <w:b/>
          <w:color w:val="000000"/>
          <w:sz w:val="20"/>
        </w:rPr>
        <w:t xml:space="preserve">Registrant’s telephone number, including area code </w:t>
      </w:r>
      <w:r>
        <w:rPr>
          <w:rFonts w:ascii="Times New Roman" w:hAnsi="Times New Roman"/>
          <w:b/>
          <w:color w:val="000000"/>
          <w:sz w:val="20"/>
          <w:u w:val="single"/>
        </w:rPr>
        <w:t>(203)</w:t>
      </w:r>
      <w:r>
        <w:rPr>
          <w:rFonts w:ascii="Times New Roman" w:hAnsi="Times New Roman"/>
          <w:color w:val="000000"/>
          <w:sz w:val="20"/>
          <w:u w:val="single"/>
        </w:rPr>
        <w:t xml:space="preserve"> </w:t>
      </w:r>
      <w:r>
        <w:rPr>
          <w:rFonts w:ascii="Times New Roman" w:hAnsi="Times New Roman"/>
          <w:b/>
          <w:color w:val="000000"/>
          <w:sz w:val="20"/>
          <w:u w:val="single"/>
        </w:rPr>
        <w:t>328-7310</w:t>
      </w:r>
    </w:p>
    <w:p>
      <w:pPr>
        <w:pStyle w:val="TextBody"/>
        <w:bidi w:val="0"/>
        <w:spacing w:before="264"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jc w:val="left"/>
        <w:rPr/>
      </w:pPr>
      <w:r>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060" w:type="dxa"/>
        <w:jc w:val="left"/>
        <w:tblInd w:w="0" w:type="dxa"/>
        <w:tblLayout w:type="fixed"/>
        <w:tblCellMar>
          <w:top w:w="28" w:type="dxa"/>
          <w:left w:w="28" w:type="dxa"/>
          <w:bottom w:w="28" w:type="dxa"/>
          <w:right w:w="28" w:type="dxa"/>
        </w:tblCellMar>
      </w:tblPr>
      <w:tblGrid>
        <w:gridCol w:w="2626"/>
        <w:gridCol w:w="146"/>
        <w:gridCol w:w="826"/>
        <w:gridCol w:w="146"/>
        <w:gridCol w:w="3316"/>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6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Units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SGU</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Unit Purchase Rights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(17 CFR §230.405) or Rule 12b-2 of the Securities Exchange Act of 1934 (17 CFR §240.12b-2). Emerging growth company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bookmarkStart w:id="2" w:name="item_1_44_1"/>
      <w:bookmarkStart w:id="3" w:name="part_1_2_1"/>
      <w:bookmarkEnd w:id="2"/>
      <w:bookmarkEnd w:id="3"/>
      <w:r>
        <w:rPr/>
        <w:t> </w:t>
      </w:r>
    </w:p>
    <w:tbl>
      <w:tblPr>
        <w:tblW w:w="2177" w:type="dxa"/>
        <w:jc w:val="left"/>
        <w:tblInd w:w="0" w:type="dxa"/>
        <w:tblLayout w:type="fixed"/>
        <w:tblCellMar>
          <w:top w:w="28" w:type="dxa"/>
          <w:left w:w="28" w:type="dxa"/>
          <w:bottom w:w="28" w:type="dxa"/>
          <w:right w:w="28" w:type="dxa"/>
        </w:tblCellMar>
      </w:tblPr>
      <w:tblGrid>
        <w:gridCol w:w="916"/>
        <w:gridCol w:w="1261"/>
      </w:tblGrid>
      <w:tr>
        <w:trPr/>
        <w:tc>
          <w:tcPr>
            <w:tcW w:w="91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10, 2026, the Board of Directors of the general partner of Star Group, L.P. (the “Company”) authorized an increase of the number of Common Units that the Company can repurchase in open market transactions to a total of 2.0 million, which is effective February 24, 2026. There is no guarantee of the exact number of units that will be purchased under the program and the Company may discontinue purchases at any time. The program does not have a time limit. The Company’s repurchase activities take into account SEC safe harbor rules and guidance for issuer repurchases. All of the common units purchased in the repurchase program will be retired.</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3375" w:type="dxa"/>
        <w:jc w:val="left"/>
        <w:tblInd w:w="0" w:type="dxa"/>
        <w:tblLayout w:type="fixed"/>
        <w:tblCellMar>
          <w:top w:w="28" w:type="dxa"/>
          <w:left w:w="28" w:type="dxa"/>
          <w:bottom w:w="28" w:type="dxa"/>
          <w:right w:w="28" w:type="dxa"/>
        </w:tblCellMar>
      </w:tblPr>
      <w:tblGrid>
        <w:gridCol w:w="788"/>
        <w:gridCol w:w="133"/>
        <w:gridCol w:w="2454"/>
      </w:tblGrid>
      <w:tr>
        <w:trPr/>
        <w:tc>
          <w:tcPr>
            <w:tcW w:w="7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r>
      <w:tr>
        <w:trPr/>
        <w:tc>
          <w:tcPr>
            <w:tcW w:w="7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STAR GROUP, L.P.</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Kestrel Heat, LLC (General Partner)</w:t>
            </w:r>
          </w:p>
        </w:tc>
      </w:tr>
      <w:tr>
        <w:trPr/>
        <w:tc>
          <w:tcPr>
            <w:tcW w:w="7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tcBorders/>
            <w:tcMar>
              <w:top w:w="0" w:type="dxa"/>
              <w:left w:w="0" w:type="dxa"/>
              <w:bottom w:w="0" w:type="dxa"/>
              <w:right w:w="0" w:type="dxa"/>
            </w:tcMar>
            <w:vAlign w:val="center"/>
          </w:tcPr>
          <w:p>
            <w:pPr>
              <w:pStyle w:val="TableContents"/>
              <w:pBdr>
                <w:bottom w:val="single" w:sz="6" w:space="1" w:color="000000"/>
              </w:pBdr>
              <w:bidi w:val="0"/>
              <w:spacing w:before="0" w:after="22"/>
              <w:jc w:val="left"/>
              <w:rPr>
                <w:rFonts w:ascii="Times New Roman" w:hAnsi="Times New Roman"/>
                <w:color w:val="000000"/>
                <w:sz w:val="20"/>
              </w:rPr>
            </w:pPr>
            <w:r>
              <w:rPr>
                <w:rFonts w:ascii="Times New Roman" w:hAnsi="Times New Roman"/>
                <w:color w:val="000000"/>
                <w:sz w:val="20"/>
              </w:rPr>
              <w:t>/s/ Richard F. Ambury</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F. Ambury</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February 13,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482</Words>
  <Characters>2567</Characters>
  <CharactersWithSpaces>3023</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