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(Rule 13d-102)</w:t>
      </w:r>
    </w:p>
    <w:p>
      <w:pPr>
        <w:spacing w:after="0" w:line="207" w:lineRule="exact"/>
        <w:rPr>
          <w:sz w:val="24"/>
          <w:szCs w:val="24"/>
          <w:color w:val="auto"/>
        </w:rPr>
      </w:pPr>
    </w:p>
    <w:p>
      <w:pPr>
        <w:jc w:val="center"/>
        <w:ind w:left="340" w:right="2740"/>
        <w:spacing w:after="0" w:line="266" w:lineRule="auto"/>
        <w:rPr>
          <w:sz w:val="20"/>
          <w:szCs w:val="20"/>
          <w:color w:val="auto"/>
        </w:rPr>
      </w:pPr>
      <w:r>
        <w:rPr>
          <w:rFonts w:ascii="Times New Roman" w:cs="Times New Roman" w:eastAsia="Times New Roman" w:hAnsi="Times New Roman"/>
          <w:sz w:val="18"/>
          <w:szCs w:val="18"/>
          <w:color w:val="auto"/>
        </w:rPr>
        <w:t>INFORMATION TO BE INCLUDED IN STATEMENTS FILED PURSUANT TO RULES 13d-1(b), (c), AND (d) AND AMENDMENTS THERETO FILED PURSUANT TO RULE 13d-2(b)</w:t>
      </w:r>
    </w:p>
    <w:p>
      <w:pPr>
        <w:spacing w:after="0" w:line="1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6)</w:t>
      </w:r>
      <w:r>
        <w:rPr>
          <w:rFonts w:ascii="Times New Roman" w:cs="Times New Roman" w:eastAsia="Times New Roman" w:hAnsi="Times New Roman"/>
          <w:sz w:val="29"/>
          <w:szCs w:val="29"/>
          <w:color w:val="auto"/>
          <w:vertAlign w:val="superscript"/>
        </w:rPr>
        <w:t>1</w:t>
      </w:r>
    </w:p>
    <w:p>
      <w:pPr>
        <w:spacing w:after="0" w:line="200" w:lineRule="exact"/>
        <w:rPr>
          <w:sz w:val="24"/>
          <w:szCs w:val="24"/>
          <w:color w:val="auto"/>
        </w:rPr>
      </w:pPr>
    </w:p>
    <w:p>
      <w:pPr>
        <w:spacing w:after="0" w:line="394"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8"/>
          <w:szCs w:val="18"/>
          <w:color w:val="auto"/>
        </w:rPr>
        <w:t>Star Group,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8"/>
          <w:szCs w:val="18"/>
          <w:color w:val="auto"/>
        </w:rPr>
        <w:t>(Name of Issuer)</w:t>
      </w: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Common Units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0" w:lineRule="exact"/>
        <w:rPr>
          <w:sz w:val="24"/>
          <w:szCs w:val="24"/>
          <w:color w:val="auto"/>
        </w:rPr>
      </w:pPr>
    </w:p>
    <w:p>
      <w:pPr>
        <w:ind w:left="5200"/>
        <w:spacing w:after="0"/>
        <w:rPr>
          <w:sz w:val="20"/>
          <w:szCs w:val="20"/>
          <w:color w:val="auto"/>
        </w:rPr>
      </w:pPr>
      <w:r>
        <w:rPr>
          <w:rFonts w:ascii="Times New Roman" w:cs="Times New Roman" w:eastAsia="Times New Roman" w:hAnsi="Times New Roman"/>
          <w:sz w:val="18"/>
          <w:szCs w:val="18"/>
          <w:color w:val="auto"/>
        </w:rPr>
        <w:t>85512C105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18"/>
          <w:szCs w:val="18"/>
          <w:color w:val="auto"/>
        </w:rPr>
        <w:t>(CUSIP Number)</w:t>
      </w: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185" w:lineRule="exact"/>
        <w:rPr>
          <w:sz w:val="24"/>
          <w:szCs w:val="24"/>
          <w:color w:val="auto"/>
        </w:rPr>
      </w:pPr>
    </w:p>
    <w:p>
      <w:pPr>
        <w:ind w:left="960" w:hanging="340"/>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960" w:hanging="340"/>
        <w:spacing w:after="0"/>
        <w:tabs>
          <w:tab w:leader="none" w:pos="9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rFonts w:ascii="MS PGothic" w:cs="MS PGothic" w:eastAsia="MS PGothic" w:hAnsi="MS PGothic"/>
          <w:sz w:val="18"/>
          <w:szCs w:val="18"/>
          <w:color w:val="auto"/>
        </w:rPr>
      </w:pPr>
    </w:p>
    <w:p>
      <w:pPr>
        <w:ind w:left="960" w:hanging="340"/>
        <w:spacing w:after="0"/>
        <w:tabs>
          <w:tab w:leader="none" w:pos="9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737235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firstLine="8"/>
        <w:spacing w:after="0" w:line="244" w:lineRule="auto"/>
        <w:tabs>
          <w:tab w:leader="none" w:pos="815"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2" w:lineRule="exact"/>
        <w:rPr>
          <w:sz w:val="24"/>
          <w:szCs w:val="24"/>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16"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CUSIP No. 85512C105</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10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right w:val="single" w:sz="8" w:color="auto"/>
            </w:tcBorders>
          </w:tcPr>
          <w:p>
            <w:pPr>
              <w:spacing w:after="0"/>
              <w:rPr>
                <w:sz w:val="3"/>
                <w:szCs w:val="3"/>
                <w:color w:val="auto"/>
              </w:rPr>
            </w:pPr>
          </w:p>
        </w:tc>
      </w:tr>
      <w:tr>
        <w:trPr>
          <w:trHeight w:val="215"/>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720" w:type="dxa"/>
            <w:vAlign w:val="bottom"/>
            <w:tcBorders>
              <w:right w:val="single" w:sz="8" w:color="auto"/>
            </w:tcBorders>
          </w:tcPr>
          <w:p>
            <w:pPr>
              <w:spacing w:after="0"/>
              <w:rPr>
                <w:sz w:val="18"/>
                <w:szCs w:val="18"/>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BANDERA PARTNERS LLC</w:t>
            </w:r>
          </w:p>
        </w:tc>
        <w:tc>
          <w:tcPr>
            <w:tcW w:w="1720" w:type="dxa"/>
            <w:vAlign w:val="bottom"/>
            <w:tcBorders>
              <w:bottom w:val="single" w:sz="8" w:color="auto"/>
              <w:right w:val="single" w:sz="8" w:color="auto"/>
            </w:tcBorders>
          </w:tcPr>
          <w:p>
            <w:pPr>
              <w:spacing w:after="0"/>
              <w:rPr>
                <w:sz w:val="24"/>
                <w:szCs w:val="24"/>
                <w:color w:val="auto"/>
              </w:rPr>
            </w:pPr>
          </w:p>
        </w:tc>
      </w:tr>
      <w:tr>
        <w:trPr>
          <w:trHeight w:val="156"/>
        </w:trPr>
        <w:tc>
          <w:tcPr>
            <w:tcW w:w="40" w:type="dxa"/>
            <w:vAlign w:val="bottom"/>
            <w:tcBorders>
              <w:right w:val="single" w:sz="8" w:color="auto"/>
            </w:tcBorders>
            <w:shd w:val="clear" w:color="auto" w:fill="000000"/>
          </w:tcPr>
          <w:p>
            <w:pPr>
              <w:spacing w:after="0"/>
              <w:rPr>
                <w:sz w:val="13"/>
                <w:szCs w:val="13"/>
                <w:color w:val="auto"/>
              </w:rPr>
            </w:pPr>
          </w:p>
        </w:tc>
        <w:tc>
          <w:tcPr>
            <w:tcW w:w="1680" w:type="dxa"/>
            <w:vAlign w:val="bottom"/>
            <w:tcBorders>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w w:val="88"/>
              </w:rPr>
              <w:t>2</w:t>
            </w:r>
          </w:p>
        </w:tc>
        <w:tc>
          <w:tcPr>
            <w:tcW w:w="7800" w:type="dxa"/>
            <w:vAlign w:val="bottom"/>
            <w:gridSpan w:val="2"/>
          </w:tcPr>
          <w:p>
            <w:pPr>
              <w:ind w:left="120"/>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720" w:type="dxa"/>
            <w:vAlign w:val="bottom"/>
            <w:tcBorders>
              <w:right w:val="single" w:sz="8" w:color="auto"/>
            </w:tcBorders>
          </w:tcPr>
          <w:p>
            <w:pPr>
              <w:ind w:left="620"/>
              <w:spacing w:after="0" w:line="156"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720" w:type="dxa"/>
            <w:vAlign w:val="bottom"/>
            <w:tcBorders>
              <w:right w:val="single" w:sz="8" w:color="auto"/>
            </w:tcBorders>
          </w:tcPr>
          <w:p>
            <w:pPr>
              <w:ind w:left="6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83"/>
        </w:trPr>
        <w:tc>
          <w:tcPr>
            <w:tcW w:w="40" w:type="dxa"/>
            <w:vAlign w:val="bottom"/>
            <w:tcBorders>
              <w:bottom w:val="single" w:sz="8" w:color="auto"/>
              <w:right w:val="single" w:sz="8" w:color="auto"/>
            </w:tcBorders>
            <w:shd w:val="clear" w:color="auto" w:fill="000000"/>
          </w:tcPr>
          <w:p>
            <w:pPr>
              <w:spacing w:after="0"/>
              <w:rPr>
                <w:sz w:val="15"/>
                <w:szCs w:val="15"/>
                <w:color w:val="auto"/>
              </w:rPr>
            </w:pPr>
          </w:p>
        </w:tc>
        <w:tc>
          <w:tcPr>
            <w:tcW w:w="1680" w:type="dxa"/>
            <w:vAlign w:val="bottom"/>
            <w:tcBorders>
              <w:bottom w:val="single" w:sz="8" w:color="auto"/>
              <w:right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6100" w:type="dxa"/>
            <w:vAlign w:val="bottom"/>
            <w:tcBorders>
              <w:bottom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610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DELAWARE</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00" w:type="dxa"/>
            <w:vAlign w:val="bottom"/>
            <w:tcBorders>
              <w:right w:val="single" w:sz="8" w:color="auto"/>
            </w:tcBorders>
          </w:tcPr>
          <w:p>
            <w:pPr>
              <w:ind w:left="800"/>
              <w:spacing w:after="0" w:line="191" w:lineRule="exact"/>
              <w:rPr>
                <w:sz w:val="20"/>
                <w:szCs w:val="20"/>
                <w:color w:val="auto"/>
              </w:rPr>
            </w:pPr>
            <w:r>
              <w:rPr>
                <w:rFonts w:ascii="Times New Roman" w:cs="Times New Roman" w:eastAsia="Times New Roman" w:hAnsi="Times New Roman"/>
                <w:sz w:val="18"/>
                <w:szCs w:val="18"/>
                <w:color w:val="auto"/>
              </w:rPr>
              <w:t>5</w:t>
            </w:r>
          </w:p>
        </w:tc>
        <w:tc>
          <w:tcPr>
            <w:tcW w:w="610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3,445,360</w:t>
            </w:r>
          </w:p>
        </w:tc>
        <w:tc>
          <w:tcPr>
            <w:tcW w:w="1720" w:type="dxa"/>
            <w:vAlign w:val="bottom"/>
            <w:tcBorders>
              <w:bottom w:val="single" w:sz="8" w:color="auto"/>
              <w:right w:val="single" w:sz="8" w:color="auto"/>
            </w:tcBorders>
          </w:tcPr>
          <w:p>
            <w:pPr>
              <w:spacing w:after="0"/>
              <w:rPr>
                <w:sz w:val="20"/>
                <w:szCs w:val="20"/>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00" w:type="dxa"/>
            <w:vAlign w:val="bottom"/>
            <w:tcBorders>
              <w:right w:val="single" w:sz="8" w:color="auto"/>
            </w:tcBorders>
          </w:tcPr>
          <w:p>
            <w:pPr>
              <w:ind w:left="800"/>
              <w:spacing w:after="0" w:line="191" w:lineRule="exact"/>
              <w:rPr>
                <w:sz w:val="20"/>
                <w:szCs w:val="20"/>
                <w:color w:val="auto"/>
              </w:rPr>
            </w:pPr>
            <w:r>
              <w:rPr>
                <w:rFonts w:ascii="Times New Roman" w:cs="Times New Roman" w:eastAsia="Times New Roman" w:hAnsi="Times New Roman"/>
                <w:sz w:val="18"/>
                <w:szCs w:val="18"/>
                <w:color w:val="auto"/>
              </w:rPr>
              <w:t>6</w:t>
            </w:r>
          </w:p>
        </w:tc>
        <w:tc>
          <w:tcPr>
            <w:tcW w:w="610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- 0 -</w:t>
            </w:r>
          </w:p>
        </w:tc>
        <w:tc>
          <w:tcPr>
            <w:tcW w:w="1720" w:type="dxa"/>
            <w:vAlign w:val="bottom"/>
            <w:tcBorders>
              <w:bottom w:val="single" w:sz="8" w:color="auto"/>
              <w:right w:val="single" w:sz="8" w:color="auto"/>
            </w:tcBorders>
          </w:tcPr>
          <w:p>
            <w:pPr>
              <w:spacing w:after="0"/>
              <w:rPr>
                <w:sz w:val="20"/>
                <w:szCs w:val="20"/>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0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7</w:t>
            </w:r>
          </w:p>
        </w:tc>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3,445,360</w:t>
            </w: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8</w:t>
            </w:r>
          </w:p>
        </w:tc>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- 0 -</w:t>
            </w: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3,445,360</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9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720" w:type="dxa"/>
            <w:vAlign w:val="bottom"/>
            <w:tcBorders>
              <w:right w:val="single" w:sz="8" w:color="auto"/>
            </w:tcBorders>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4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9.7%</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OO, IA</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ind w:left="2160"/>
              <w:spacing w:after="0"/>
              <w:rPr>
                <w:sz w:val="20"/>
                <w:szCs w:val="20"/>
                <w:color w:val="auto"/>
              </w:rPr>
            </w:pPr>
            <w:r>
              <w:rPr>
                <w:rFonts w:ascii="Times New Roman" w:cs="Times New Roman" w:eastAsia="Times New Roman" w:hAnsi="Times New Roman"/>
                <w:sz w:val="18"/>
                <w:szCs w:val="18"/>
                <w:color w:val="auto"/>
              </w:rPr>
              <w:t>2</w:t>
            </w: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CUSIP No. 85512C105</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10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right w:val="single" w:sz="8" w:color="auto"/>
            </w:tcBorders>
          </w:tcPr>
          <w:p>
            <w:pPr>
              <w:spacing w:after="0"/>
              <w:rPr>
                <w:sz w:val="3"/>
                <w:szCs w:val="3"/>
                <w:color w:val="auto"/>
              </w:rPr>
            </w:pPr>
          </w:p>
        </w:tc>
      </w:tr>
      <w:tr>
        <w:trPr>
          <w:trHeight w:val="215"/>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720" w:type="dxa"/>
            <w:vAlign w:val="bottom"/>
            <w:tcBorders>
              <w:right w:val="single" w:sz="8" w:color="auto"/>
            </w:tcBorders>
          </w:tcPr>
          <w:p>
            <w:pPr>
              <w:spacing w:after="0"/>
              <w:rPr>
                <w:sz w:val="18"/>
                <w:szCs w:val="18"/>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GREGORY BYLINSKY</w:t>
            </w:r>
          </w:p>
        </w:tc>
        <w:tc>
          <w:tcPr>
            <w:tcW w:w="1720" w:type="dxa"/>
            <w:vAlign w:val="bottom"/>
            <w:tcBorders>
              <w:bottom w:val="single" w:sz="8" w:color="auto"/>
              <w:right w:val="single" w:sz="8" w:color="auto"/>
            </w:tcBorders>
          </w:tcPr>
          <w:p>
            <w:pPr>
              <w:spacing w:after="0"/>
              <w:rPr>
                <w:sz w:val="24"/>
                <w:szCs w:val="24"/>
                <w:color w:val="auto"/>
              </w:rPr>
            </w:pPr>
          </w:p>
        </w:tc>
      </w:tr>
      <w:tr>
        <w:trPr>
          <w:trHeight w:val="155"/>
        </w:trPr>
        <w:tc>
          <w:tcPr>
            <w:tcW w:w="40" w:type="dxa"/>
            <w:vAlign w:val="bottom"/>
            <w:tcBorders>
              <w:right w:val="single" w:sz="8" w:color="auto"/>
            </w:tcBorders>
            <w:shd w:val="clear" w:color="auto" w:fill="000000"/>
          </w:tcPr>
          <w:p>
            <w:pPr>
              <w:spacing w:after="0"/>
              <w:rPr>
                <w:sz w:val="13"/>
                <w:szCs w:val="13"/>
                <w:color w:val="auto"/>
              </w:rPr>
            </w:pPr>
          </w:p>
        </w:tc>
        <w:tc>
          <w:tcPr>
            <w:tcW w:w="1680" w:type="dxa"/>
            <w:vAlign w:val="bottom"/>
            <w:tcBorders>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w w:val="88"/>
              </w:rPr>
              <w:t>2</w:t>
            </w:r>
          </w:p>
        </w:tc>
        <w:tc>
          <w:tcPr>
            <w:tcW w:w="7800" w:type="dxa"/>
            <w:vAlign w:val="bottom"/>
            <w:gridSpan w:val="2"/>
          </w:tcPr>
          <w:p>
            <w:pPr>
              <w:ind w:left="120"/>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720" w:type="dxa"/>
            <w:vAlign w:val="bottom"/>
            <w:tcBorders>
              <w:right w:val="single" w:sz="8" w:color="auto"/>
            </w:tcBorders>
          </w:tcPr>
          <w:p>
            <w:pPr>
              <w:ind w:left="620"/>
              <w:spacing w:after="0" w:line="156"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720" w:type="dxa"/>
            <w:vAlign w:val="bottom"/>
            <w:tcBorders>
              <w:right w:val="single" w:sz="8" w:color="auto"/>
            </w:tcBorders>
          </w:tcPr>
          <w:p>
            <w:pPr>
              <w:ind w:left="6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83"/>
        </w:trPr>
        <w:tc>
          <w:tcPr>
            <w:tcW w:w="40" w:type="dxa"/>
            <w:vAlign w:val="bottom"/>
            <w:tcBorders>
              <w:bottom w:val="single" w:sz="8" w:color="auto"/>
              <w:right w:val="single" w:sz="8" w:color="auto"/>
            </w:tcBorders>
            <w:shd w:val="clear" w:color="auto" w:fill="000000"/>
          </w:tcPr>
          <w:p>
            <w:pPr>
              <w:spacing w:after="0"/>
              <w:rPr>
                <w:sz w:val="15"/>
                <w:szCs w:val="15"/>
                <w:color w:val="auto"/>
              </w:rPr>
            </w:pPr>
          </w:p>
        </w:tc>
        <w:tc>
          <w:tcPr>
            <w:tcW w:w="1680" w:type="dxa"/>
            <w:vAlign w:val="bottom"/>
            <w:tcBorders>
              <w:bottom w:val="single" w:sz="8" w:color="auto"/>
              <w:right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6100" w:type="dxa"/>
            <w:vAlign w:val="bottom"/>
            <w:tcBorders>
              <w:bottom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610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UNITED STATES</w:t>
            </w:r>
          </w:p>
        </w:tc>
        <w:tc>
          <w:tcPr>
            <w:tcW w:w="172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00" w:type="dxa"/>
            <w:vAlign w:val="bottom"/>
            <w:tcBorders>
              <w:right w:val="single" w:sz="8" w:color="auto"/>
            </w:tcBorders>
          </w:tcPr>
          <w:p>
            <w:pPr>
              <w:ind w:left="800"/>
              <w:spacing w:after="0" w:line="191" w:lineRule="exact"/>
              <w:rPr>
                <w:sz w:val="20"/>
                <w:szCs w:val="20"/>
                <w:color w:val="auto"/>
              </w:rPr>
            </w:pPr>
            <w:r>
              <w:rPr>
                <w:rFonts w:ascii="Times New Roman" w:cs="Times New Roman" w:eastAsia="Times New Roman" w:hAnsi="Times New Roman"/>
                <w:sz w:val="18"/>
                <w:szCs w:val="18"/>
                <w:color w:val="auto"/>
              </w:rPr>
              <w:t>5</w:t>
            </w:r>
          </w:p>
        </w:tc>
        <w:tc>
          <w:tcPr>
            <w:tcW w:w="610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4,827</w:t>
            </w:r>
          </w:p>
        </w:tc>
        <w:tc>
          <w:tcPr>
            <w:tcW w:w="1720" w:type="dxa"/>
            <w:vAlign w:val="bottom"/>
            <w:tcBorders>
              <w:bottom w:val="single" w:sz="8" w:color="auto"/>
              <w:right w:val="single" w:sz="8" w:color="auto"/>
            </w:tcBorders>
          </w:tcPr>
          <w:p>
            <w:pPr>
              <w:spacing w:after="0"/>
              <w:rPr>
                <w:sz w:val="20"/>
                <w:szCs w:val="20"/>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00" w:type="dxa"/>
            <w:vAlign w:val="bottom"/>
            <w:tcBorders>
              <w:right w:val="single" w:sz="8" w:color="auto"/>
            </w:tcBorders>
          </w:tcPr>
          <w:p>
            <w:pPr>
              <w:ind w:left="800"/>
              <w:spacing w:after="0" w:line="191" w:lineRule="exact"/>
              <w:rPr>
                <w:sz w:val="20"/>
                <w:szCs w:val="20"/>
                <w:color w:val="auto"/>
              </w:rPr>
            </w:pPr>
            <w:r>
              <w:rPr>
                <w:rFonts w:ascii="Times New Roman" w:cs="Times New Roman" w:eastAsia="Times New Roman" w:hAnsi="Times New Roman"/>
                <w:sz w:val="18"/>
                <w:szCs w:val="18"/>
                <w:color w:val="auto"/>
              </w:rPr>
              <w:t>6</w:t>
            </w:r>
          </w:p>
        </w:tc>
        <w:tc>
          <w:tcPr>
            <w:tcW w:w="610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3,445,360</w:t>
            </w:r>
          </w:p>
        </w:tc>
        <w:tc>
          <w:tcPr>
            <w:tcW w:w="1720" w:type="dxa"/>
            <w:vAlign w:val="bottom"/>
            <w:tcBorders>
              <w:bottom w:val="single" w:sz="8" w:color="auto"/>
              <w:right w:val="single" w:sz="8" w:color="auto"/>
            </w:tcBorders>
          </w:tcPr>
          <w:p>
            <w:pPr>
              <w:spacing w:after="0"/>
              <w:rPr>
                <w:sz w:val="20"/>
                <w:szCs w:val="20"/>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0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7</w:t>
            </w:r>
          </w:p>
        </w:tc>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4,827</w:t>
            </w: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8</w:t>
            </w:r>
          </w:p>
        </w:tc>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3,445,360</w:t>
            </w: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3,450,187</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9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720" w:type="dxa"/>
            <w:vAlign w:val="bottom"/>
            <w:tcBorders>
              <w:right w:val="single" w:sz="8" w:color="auto"/>
            </w:tcBorders>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4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9.7%</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IN, HC</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ind w:left="2160"/>
              <w:spacing w:after="0"/>
              <w:rPr>
                <w:sz w:val="20"/>
                <w:szCs w:val="20"/>
                <w:color w:val="auto"/>
              </w:rPr>
            </w:pPr>
            <w:r>
              <w:rPr>
                <w:rFonts w:ascii="Times New Roman" w:cs="Times New Roman" w:eastAsia="Times New Roman" w:hAnsi="Times New Roman"/>
                <w:sz w:val="18"/>
                <w:szCs w:val="18"/>
                <w:color w:val="auto"/>
              </w:rPr>
              <w:t>3</w:t>
            </w: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CUSIP No. 85512C105</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10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right w:val="single" w:sz="8" w:color="auto"/>
            </w:tcBorders>
          </w:tcPr>
          <w:p>
            <w:pPr>
              <w:spacing w:after="0"/>
              <w:rPr>
                <w:sz w:val="3"/>
                <w:szCs w:val="3"/>
                <w:color w:val="auto"/>
              </w:rPr>
            </w:pPr>
          </w:p>
        </w:tc>
      </w:tr>
      <w:tr>
        <w:trPr>
          <w:trHeight w:val="215"/>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720" w:type="dxa"/>
            <w:vAlign w:val="bottom"/>
            <w:tcBorders>
              <w:right w:val="single" w:sz="8" w:color="auto"/>
            </w:tcBorders>
          </w:tcPr>
          <w:p>
            <w:pPr>
              <w:spacing w:after="0"/>
              <w:rPr>
                <w:sz w:val="18"/>
                <w:szCs w:val="18"/>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JEFFERSON GRAMM</w:t>
            </w:r>
          </w:p>
        </w:tc>
        <w:tc>
          <w:tcPr>
            <w:tcW w:w="1720" w:type="dxa"/>
            <w:vAlign w:val="bottom"/>
            <w:tcBorders>
              <w:bottom w:val="single" w:sz="8" w:color="auto"/>
              <w:right w:val="single" w:sz="8" w:color="auto"/>
            </w:tcBorders>
          </w:tcPr>
          <w:p>
            <w:pPr>
              <w:spacing w:after="0"/>
              <w:rPr>
                <w:sz w:val="24"/>
                <w:szCs w:val="24"/>
                <w:color w:val="auto"/>
              </w:rPr>
            </w:pPr>
          </w:p>
        </w:tc>
      </w:tr>
      <w:tr>
        <w:trPr>
          <w:trHeight w:val="156"/>
        </w:trPr>
        <w:tc>
          <w:tcPr>
            <w:tcW w:w="40" w:type="dxa"/>
            <w:vAlign w:val="bottom"/>
            <w:tcBorders>
              <w:right w:val="single" w:sz="8" w:color="auto"/>
            </w:tcBorders>
            <w:shd w:val="clear" w:color="auto" w:fill="000000"/>
          </w:tcPr>
          <w:p>
            <w:pPr>
              <w:spacing w:after="0"/>
              <w:rPr>
                <w:sz w:val="13"/>
                <w:szCs w:val="13"/>
                <w:color w:val="auto"/>
              </w:rPr>
            </w:pPr>
          </w:p>
        </w:tc>
        <w:tc>
          <w:tcPr>
            <w:tcW w:w="1680" w:type="dxa"/>
            <w:vAlign w:val="bottom"/>
            <w:tcBorders>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w w:val="88"/>
              </w:rPr>
              <w:t>2</w:t>
            </w:r>
          </w:p>
        </w:tc>
        <w:tc>
          <w:tcPr>
            <w:tcW w:w="7800" w:type="dxa"/>
            <w:vAlign w:val="bottom"/>
            <w:gridSpan w:val="2"/>
          </w:tcPr>
          <w:p>
            <w:pPr>
              <w:ind w:left="120"/>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720" w:type="dxa"/>
            <w:vAlign w:val="bottom"/>
            <w:tcBorders>
              <w:right w:val="single" w:sz="8" w:color="auto"/>
            </w:tcBorders>
          </w:tcPr>
          <w:p>
            <w:pPr>
              <w:ind w:left="620"/>
              <w:spacing w:after="0" w:line="156"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720" w:type="dxa"/>
            <w:vAlign w:val="bottom"/>
            <w:tcBorders>
              <w:right w:val="single" w:sz="8" w:color="auto"/>
            </w:tcBorders>
          </w:tcPr>
          <w:p>
            <w:pPr>
              <w:ind w:left="6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83"/>
        </w:trPr>
        <w:tc>
          <w:tcPr>
            <w:tcW w:w="40" w:type="dxa"/>
            <w:vAlign w:val="bottom"/>
            <w:tcBorders>
              <w:bottom w:val="single" w:sz="8" w:color="auto"/>
              <w:right w:val="single" w:sz="8" w:color="auto"/>
            </w:tcBorders>
            <w:shd w:val="clear" w:color="auto" w:fill="000000"/>
          </w:tcPr>
          <w:p>
            <w:pPr>
              <w:spacing w:after="0"/>
              <w:rPr>
                <w:sz w:val="15"/>
                <w:szCs w:val="15"/>
                <w:color w:val="auto"/>
              </w:rPr>
            </w:pPr>
          </w:p>
        </w:tc>
        <w:tc>
          <w:tcPr>
            <w:tcW w:w="1680" w:type="dxa"/>
            <w:vAlign w:val="bottom"/>
            <w:tcBorders>
              <w:bottom w:val="single" w:sz="8" w:color="auto"/>
              <w:right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6100" w:type="dxa"/>
            <w:vAlign w:val="bottom"/>
            <w:tcBorders>
              <w:bottom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610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UNITED STATES</w:t>
            </w:r>
          </w:p>
        </w:tc>
        <w:tc>
          <w:tcPr>
            <w:tcW w:w="172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00" w:type="dxa"/>
            <w:vAlign w:val="bottom"/>
            <w:tcBorders>
              <w:right w:val="single" w:sz="8" w:color="auto"/>
            </w:tcBorders>
          </w:tcPr>
          <w:p>
            <w:pPr>
              <w:ind w:left="800"/>
              <w:spacing w:after="0" w:line="191" w:lineRule="exact"/>
              <w:rPr>
                <w:sz w:val="20"/>
                <w:szCs w:val="20"/>
                <w:color w:val="auto"/>
              </w:rPr>
            </w:pPr>
            <w:r>
              <w:rPr>
                <w:rFonts w:ascii="Times New Roman" w:cs="Times New Roman" w:eastAsia="Times New Roman" w:hAnsi="Times New Roman"/>
                <w:sz w:val="18"/>
                <w:szCs w:val="18"/>
                <w:color w:val="auto"/>
              </w:rPr>
              <w:t>5</w:t>
            </w:r>
          </w:p>
        </w:tc>
        <w:tc>
          <w:tcPr>
            <w:tcW w:w="610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206,483</w:t>
            </w:r>
          </w:p>
        </w:tc>
        <w:tc>
          <w:tcPr>
            <w:tcW w:w="1720" w:type="dxa"/>
            <w:vAlign w:val="bottom"/>
            <w:tcBorders>
              <w:bottom w:val="single" w:sz="8" w:color="auto"/>
              <w:right w:val="single" w:sz="8" w:color="auto"/>
            </w:tcBorders>
          </w:tcPr>
          <w:p>
            <w:pPr>
              <w:spacing w:after="0"/>
              <w:rPr>
                <w:sz w:val="20"/>
                <w:szCs w:val="20"/>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00" w:type="dxa"/>
            <w:vAlign w:val="bottom"/>
            <w:tcBorders>
              <w:right w:val="single" w:sz="8" w:color="auto"/>
            </w:tcBorders>
          </w:tcPr>
          <w:p>
            <w:pPr>
              <w:ind w:left="800"/>
              <w:spacing w:after="0" w:line="191" w:lineRule="exact"/>
              <w:rPr>
                <w:sz w:val="20"/>
                <w:szCs w:val="20"/>
                <w:color w:val="auto"/>
              </w:rPr>
            </w:pPr>
            <w:r>
              <w:rPr>
                <w:rFonts w:ascii="Times New Roman" w:cs="Times New Roman" w:eastAsia="Times New Roman" w:hAnsi="Times New Roman"/>
                <w:sz w:val="18"/>
                <w:szCs w:val="18"/>
                <w:color w:val="auto"/>
              </w:rPr>
              <w:t>6</w:t>
            </w:r>
          </w:p>
        </w:tc>
        <w:tc>
          <w:tcPr>
            <w:tcW w:w="610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3,445,360</w:t>
            </w:r>
          </w:p>
        </w:tc>
        <w:tc>
          <w:tcPr>
            <w:tcW w:w="1720" w:type="dxa"/>
            <w:vAlign w:val="bottom"/>
            <w:tcBorders>
              <w:bottom w:val="single" w:sz="8" w:color="auto"/>
              <w:right w:val="single" w:sz="8" w:color="auto"/>
            </w:tcBorders>
          </w:tcPr>
          <w:p>
            <w:pPr>
              <w:spacing w:after="0"/>
              <w:rPr>
                <w:sz w:val="20"/>
                <w:szCs w:val="20"/>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0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7</w:t>
            </w:r>
          </w:p>
        </w:tc>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206,483</w:t>
            </w: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8</w:t>
            </w:r>
          </w:p>
        </w:tc>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3,445,360</w:t>
            </w: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3,651,483</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9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720" w:type="dxa"/>
            <w:vAlign w:val="bottom"/>
            <w:tcBorders>
              <w:right w:val="single" w:sz="8" w:color="auto"/>
            </w:tcBorders>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4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10.3%</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IN, HC</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ind w:left="2160"/>
              <w:spacing w:after="0"/>
              <w:rPr>
                <w:sz w:val="20"/>
                <w:szCs w:val="20"/>
                <w:color w:val="auto"/>
              </w:rPr>
            </w:pPr>
            <w:r>
              <w:rPr>
                <w:rFonts w:ascii="Times New Roman" w:cs="Times New Roman" w:eastAsia="Times New Roman" w:hAnsi="Times New Roman"/>
                <w:sz w:val="18"/>
                <w:szCs w:val="18"/>
                <w:color w:val="auto"/>
              </w:rPr>
              <w:t>4</w:t>
            </w: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CUSIP No. 85512C105</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Name of Issuer:</w:t>
            </w:r>
          </w:p>
        </w:tc>
      </w:tr>
      <w:tr>
        <w:trPr>
          <w:trHeight w:val="432"/>
        </w:trPr>
        <w:tc>
          <w:tcPr>
            <w:tcW w:w="1040" w:type="dxa"/>
            <w:vAlign w:val="bottom"/>
          </w:tcPr>
          <w:p>
            <w:pPr>
              <w:spacing w:after="0"/>
              <w:rPr>
                <w:sz w:val="24"/>
                <w:szCs w:val="24"/>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Star Group, L.P. (the “Issuer”).</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1(b).</w:t>
            </w: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Address of Issuer’s Principal Executive Offices:</w:t>
            </w:r>
          </w:p>
        </w:tc>
      </w:tr>
      <w:tr>
        <w:trPr>
          <w:trHeight w:val="414"/>
        </w:trPr>
        <w:tc>
          <w:tcPr>
            <w:tcW w:w="1040" w:type="dxa"/>
            <w:vAlign w:val="bottom"/>
          </w:tcPr>
          <w:p>
            <w:pPr>
              <w:spacing w:after="0"/>
              <w:rPr>
                <w:sz w:val="24"/>
                <w:szCs w:val="24"/>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9 West Broad Street, Suite 310</w:t>
            </w:r>
          </w:p>
        </w:tc>
      </w:tr>
      <w:tr>
        <w:trPr>
          <w:trHeight w:val="234"/>
        </w:trPr>
        <w:tc>
          <w:tcPr>
            <w:tcW w:w="1040" w:type="dxa"/>
            <w:vAlign w:val="bottom"/>
          </w:tcPr>
          <w:p>
            <w:pPr>
              <w:spacing w:after="0"/>
              <w:rPr>
                <w:sz w:val="20"/>
                <w:szCs w:val="20"/>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Stamford, Connecticut 06902</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2(a).</w:t>
            </w: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Name of Person Filing:</w:t>
            </w:r>
          </w:p>
        </w:tc>
      </w:tr>
      <w:tr>
        <w:trPr>
          <w:trHeight w:val="414"/>
        </w:trPr>
        <w:tc>
          <w:tcPr>
            <w:tcW w:w="1040" w:type="dxa"/>
            <w:vAlign w:val="bottom"/>
          </w:tcPr>
          <w:p>
            <w:pPr>
              <w:spacing w:after="0"/>
              <w:rPr>
                <w:sz w:val="24"/>
                <w:szCs w:val="24"/>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This statement is filed by Bandera Partners LLC, a Delaware limited liability company (“Bandera Partners”), Gregory Bylinsky and</w:t>
            </w:r>
          </w:p>
        </w:tc>
      </w:tr>
      <w:tr>
        <w:trPr>
          <w:trHeight w:val="234"/>
        </w:trPr>
        <w:tc>
          <w:tcPr>
            <w:tcW w:w="1040" w:type="dxa"/>
            <w:vAlign w:val="bottom"/>
          </w:tcPr>
          <w:p>
            <w:pPr>
              <w:spacing w:after="0"/>
              <w:rPr>
                <w:sz w:val="20"/>
                <w:szCs w:val="20"/>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Jefferson Gramm. Each of the foregoing is referred to as a “Reporting Person” and collectively as the “Reporting Persons.”</w:t>
            </w:r>
          </w:p>
        </w:tc>
      </w:tr>
      <w:tr>
        <w:trPr>
          <w:trHeight w:val="414"/>
        </w:trPr>
        <w:tc>
          <w:tcPr>
            <w:tcW w:w="1040" w:type="dxa"/>
            <w:vAlign w:val="bottom"/>
          </w:tcPr>
          <w:p>
            <w:pPr>
              <w:spacing w:after="0"/>
              <w:rPr>
                <w:sz w:val="24"/>
                <w:szCs w:val="24"/>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Bandera Partners, Mr. Bylinsky and Mr. Gramm are filing this Statement with respect to 3,445,360 Common Units (the “Master Fund’s</w:t>
            </w:r>
          </w:p>
        </w:tc>
      </w:tr>
      <w:tr>
        <w:trPr>
          <w:trHeight w:val="216"/>
        </w:trPr>
        <w:tc>
          <w:tcPr>
            <w:tcW w:w="1040" w:type="dxa"/>
            <w:vAlign w:val="bottom"/>
          </w:tcPr>
          <w:p>
            <w:pPr>
              <w:spacing w:after="0"/>
              <w:rPr>
                <w:sz w:val="18"/>
                <w:szCs w:val="18"/>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Units”) directly held by Bandera Master Fund L.P., a Cayman Islands exempted limited partnership (“Bandera Master Fund”). In</w:t>
            </w:r>
          </w:p>
        </w:tc>
      </w:tr>
      <w:tr>
        <w:trPr>
          <w:trHeight w:val="216"/>
        </w:trPr>
        <w:tc>
          <w:tcPr>
            <w:tcW w:w="1040" w:type="dxa"/>
            <w:vAlign w:val="bottom"/>
          </w:tcPr>
          <w:p>
            <w:pPr>
              <w:spacing w:after="0"/>
              <w:rPr>
                <w:sz w:val="18"/>
                <w:szCs w:val="18"/>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addition, Mr. Gramm is also filing this Statement with respect to 206,483 Common Units directly owned by Mr. Gramm. Mr. Bylinsky is</w:t>
            </w:r>
          </w:p>
        </w:tc>
      </w:tr>
      <w:tr>
        <w:trPr>
          <w:trHeight w:val="234"/>
        </w:trPr>
        <w:tc>
          <w:tcPr>
            <w:tcW w:w="1040" w:type="dxa"/>
            <w:vAlign w:val="bottom"/>
          </w:tcPr>
          <w:p>
            <w:pPr>
              <w:spacing w:after="0"/>
              <w:rPr>
                <w:sz w:val="20"/>
                <w:szCs w:val="20"/>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also filing this Statement with respect to 4,827 Common Units directly owned by Mr. Bylinsky.</w:t>
            </w:r>
          </w:p>
        </w:tc>
      </w:tr>
      <w:tr>
        <w:trPr>
          <w:trHeight w:val="414"/>
        </w:trPr>
        <w:tc>
          <w:tcPr>
            <w:tcW w:w="1040" w:type="dxa"/>
            <w:vAlign w:val="bottom"/>
          </w:tcPr>
          <w:p>
            <w:pPr>
              <w:spacing w:after="0"/>
              <w:rPr>
                <w:sz w:val="24"/>
                <w:szCs w:val="24"/>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Bandera Partners is the investment manager of Bandera Master Fund and may be deemed to have beneficial ownership over the Master</w:t>
            </w:r>
          </w:p>
        </w:tc>
      </w:tr>
      <w:tr>
        <w:trPr>
          <w:trHeight w:val="216"/>
        </w:trPr>
        <w:tc>
          <w:tcPr>
            <w:tcW w:w="1040" w:type="dxa"/>
            <w:vAlign w:val="bottom"/>
          </w:tcPr>
          <w:p>
            <w:pPr>
              <w:spacing w:after="0"/>
              <w:rPr>
                <w:sz w:val="18"/>
                <w:szCs w:val="18"/>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Fund’s Units by virtue of the sole and exclusive authority granted to Bandera Partners by Bandera Master Fund to vote and dispose of the</w:t>
            </w:r>
          </w:p>
        </w:tc>
      </w:tr>
      <w:tr>
        <w:trPr>
          <w:trHeight w:val="234"/>
        </w:trPr>
        <w:tc>
          <w:tcPr>
            <w:tcW w:w="1040" w:type="dxa"/>
            <w:vAlign w:val="bottom"/>
          </w:tcPr>
          <w:p>
            <w:pPr>
              <w:spacing w:after="0"/>
              <w:rPr>
                <w:sz w:val="20"/>
                <w:szCs w:val="20"/>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Master Fund’s Units.</w:t>
            </w:r>
          </w:p>
        </w:tc>
      </w:tr>
      <w:tr>
        <w:trPr>
          <w:trHeight w:val="432"/>
        </w:trPr>
        <w:tc>
          <w:tcPr>
            <w:tcW w:w="1040" w:type="dxa"/>
            <w:vAlign w:val="bottom"/>
          </w:tcPr>
          <w:p>
            <w:pPr>
              <w:spacing w:after="0"/>
              <w:rPr>
                <w:sz w:val="24"/>
                <w:szCs w:val="24"/>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Mr. Bylinsky and Mr. Gramm are Managing Members of Bandera Partners.</w:t>
            </w:r>
          </w:p>
        </w:tc>
      </w:tr>
      <w:tr>
        <w:trPr>
          <w:trHeight w:val="414"/>
        </w:trPr>
        <w:tc>
          <w:tcPr>
            <w:tcW w:w="1040" w:type="dxa"/>
            <w:vAlign w:val="bottom"/>
          </w:tcPr>
          <w:p>
            <w:pPr>
              <w:spacing w:after="0"/>
              <w:rPr>
                <w:sz w:val="24"/>
                <w:szCs w:val="24"/>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filing of this Schedule 13G shall not be construed as an admission that the Reporting Persons are, for purposes of Section 13(d) of</w:t>
            </w:r>
          </w:p>
        </w:tc>
      </w:tr>
      <w:tr>
        <w:trPr>
          <w:trHeight w:val="216"/>
        </w:trPr>
        <w:tc>
          <w:tcPr>
            <w:tcW w:w="1040" w:type="dxa"/>
            <w:vAlign w:val="bottom"/>
          </w:tcPr>
          <w:p>
            <w:pPr>
              <w:spacing w:after="0"/>
              <w:rPr>
                <w:sz w:val="18"/>
                <w:szCs w:val="18"/>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Securities Exchange Act of 1934, as amended, the beneficial owners of any of the Units (as defined below) that he or it does not</w:t>
            </w:r>
          </w:p>
        </w:tc>
      </w:tr>
      <w:tr>
        <w:trPr>
          <w:trHeight w:val="216"/>
        </w:trPr>
        <w:tc>
          <w:tcPr>
            <w:tcW w:w="1040" w:type="dxa"/>
            <w:vAlign w:val="bottom"/>
          </w:tcPr>
          <w:p>
            <w:pPr>
              <w:spacing w:after="0"/>
              <w:rPr>
                <w:sz w:val="18"/>
                <w:szCs w:val="18"/>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directly own. Each of the Reporting Persons specifically disclaims beneficial ownership of the Units reported herein that he or it does not</w:t>
            </w:r>
          </w:p>
        </w:tc>
      </w:tr>
      <w:tr>
        <w:trPr>
          <w:trHeight w:val="216"/>
        </w:trPr>
        <w:tc>
          <w:tcPr>
            <w:tcW w:w="1040" w:type="dxa"/>
            <w:vAlign w:val="bottom"/>
          </w:tcPr>
          <w:p>
            <w:pPr>
              <w:spacing w:after="0"/>
              <w:rPr>
                <w:sz w:val="18"/>
                <w:szCs w:val="18"/>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directly own. Without limiting the foregoing sentence, Bandera Master Fund specifically disclaims beneficial ownership of the Master</w:t>
            </w:r>
          </w:p>
        </w:tc>
      </w:tr>
      <w:tr>
        <w:trPr>
          <w:trHeight w:val="234"/>
        </w:trPr>
        <w:tc>
          <w:tcPr>
            <w:tcW w:w="1040" w:type="dxa"/>
            <w:vAlign w:val="bottom"/>
          </w:tcPr>
          <w:p>
            <w:pPr>
              <w:spacing w:after="0"/>
              <w:rPr>
                <w:sz w:val="20"/>
                <w:szCs w:val="20"/>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Fund’s Units by virtue of its inability to vote or dispose of such Units.</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2(b).</w:t>
            </w: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Address of Principal Business Office or, if none, Residence:</w:t>
            </w:r>
          </w:p>
        </w:tc>
      </w:tr>
      <w:tr>
        <w:trPr>
          <w:trHeight w:val="432"/>
        </w:trPr>
        <w:tc>
          <w:tcPr>
            <w:tcW w:w="1040" w:type="dxa"/>
            <w:vAlign w:val="bottom"/>
          </w:tcPr>
          <w:p>
            <w:pPr>
              <w:spacing w:after="0"/>
              <w:rPr>
                <w:sz w:val="24"/>
                <w:szCs w:val="24"/>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principal business address of each of the Reporting Persons is 50 Broad Street, Suite 1820, New York, New York 10004.</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2(c).</w:t>
            </w: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Citizenship:</w:t>
            </w:r>
          </w:p>
        </w:tc>
      </w:tr>
      <w:tr>
        <w:trPr>
          <w:trHeight w:val="414"/>
        </w:trPr>
        <w:tc>
          <w:tcPr>
            <w:tcW w:w="1040" w:type="dxa"/>
            <w:vAlign w:val="bottom"/>
          </w:tcPr>
          <w:p>
            <w:pPr>
              <w:spacing w:after="0"/>
              <w:rPr>
                <w:sz w:val="24"/>
                <w:szCs w:val="24"/>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Bandera Partners is organized under the laws of the State of Delaware. Each of Messrs. Bylinsky and Gramm is a citizen of the United</w:t>
            </w:r>
          </w:p>
        </w:tc>
      </w:tr>
      <w:tr>
        <w:trPr>
          <w:trHeight w:val="234"/>
        </w:trPr>
        <w:tc>
          <w:tcPr>
            <w:tcW w:w="1040" w:type="dxa"/>
            <w:vAlign w:val="bottom"/>
          </w:tcPr>
          <w:p>
            <w:pPr>
              <w:spacing w:after="0"/>
              <w:rPr>
                <w:sz w:val="20"/>
                <w:szCs w:val="20"/>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States of America.</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2(d).</w:t>
            </w: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tc>
      </w:tr>
      <w:tr>
        <w:trPr>
          <w:trHeight w:val="432"/>
        </w:trPr>
        <w:tc>
          <w:tcPr>
            <w:tcW w:w="1040" w:type="dxa"/>
            <w:vAlign w:val="bottom"/>
          </w:tcPr>
          <w:p>
            <w:pPr>
              <w:spacing w:after="0"/>
              <w:rPr>
                <w:sz w:val="24"/>
                <w:szCs w:val="24"/>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Common Units (“Units”).</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2(e).</w:t>
            </w: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CUSIP Number:</w:t>
            </w:r>
          </w:p>
        </w:tc>
      </w:tr>
      <w:tr>
        <w:trPr>
          <w:trHeight w:val="432"/>
        </w:trPr>
        <w:tc>
          <w:tcPr>
            <w:tcW w:w="1040" w:type="dxa"/>
            <w:vAlign w:val="bottom"/>
          </w:tcPr>
          <w:p>
            <w:pPr>
              <w:spacing w:after="0"/>
              <w:rPr>
                <w:sz w:val="24"/>
                <w:szCs w:val="24"/>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85512C105</w:t>
            </w:r>
          </w:p>
        </w:tc>
      </w:tr>
      <w:tr>
        <w:trPr>
          <w:trHeight w:val="432"/>
        </w:trPr>
        <w:tc>
          <w:tcPr>
            <w:tcW w:w="1040" w:type="dxa"/>
            <w:vAlign w:val="bottom"/>
            <w:tcBorders>
              <w:bottom w:val="single" w:sz="8" w:color="auto"/>
            </w:tcBorders>
          </w:tcPr>
          <w:p>
            <w:pPr>
              <w:spacing w:after="0"/>
              <w:rPr>
                <w:sz w:val="24"/>
                <w:szCs w:val="24"/>
                <w:color w:val="auto"/>
              </w:rPr>
            </w:pPr>
          </w:p>
        </w:tc>
        <w:tc>
          <w:tcPr>
            <w:tcW w:w="10200" w:type="dxa"/>
            <w:vAlign w:val="bottom"/>
            <w:tcBorders>
              <w:bottom w:val="single" w:sz="8" w:color="auto"/>
            </w:tcBorders>
          </w:tcPr>
          <w:p>
            <w:pPr>
              <w:ind w:left="4540"/>
              <w:spacing w:after="0"/>
              <w:rPr>
                <w:sz w:val="20"/>
                <w:szCs w:val="20"/>
                <w:color w:val="auto"/>
              </w:rPr>
            </w:pPr>
            <w:r>
              <w:rPr>
                <w:rFonts w:ascii="Times New Roman" w:cs="Times New Roman" w:eastAsia="Times New Roman" w:hAnsi="Times New Roman"/>
                <w:sz w:val="18"/>
                <w:szCs w:val="18"/>
                <w:color w:val="auto"/>
              </w:rPr>
              <w:t>5</w:t>
            </w:r>
          </w:p>
        </w:tc>
      </w:tr>
    </w:tbl>
    <w:p>
      <w:pPr>
        <w:sectPr>
          <w:pgSz w:w="11900" w:h="16838" w:orient="portrait"/>
          <w:cols w:equalWidth="0" w:num="1">
            <w:col w:w="11240"/>
          </w:cols>
          <w:pgMar w:left="320" w:top="22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CUSIP No. 85512C105</w:t>
      </w:r>
    </w:p>
    <w:p>
      <w:pPr>
        <w:spacing w:after="0" w:line="21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If this statement is filed pursuant to Section 240.13d-1(b) or 240.13d-2(b) or (c), check whether the person filing is a:</w:t>
      </w:r>
    </w:p>
    <w:p>
      <w:pPr>
        <w:spacing w:after="0" w:line="229" w:lineRule="exact"/>
        <w:rPr>
          <w:sz w:val="20"/>
          <w:szCs w:val="20"/>
          <w:color w:val="auto"/>
        </w:rPr>
      </w:pPr>
    </w:p>
    <w:tbl>
      <w:tblPr>
        <w:tblLayout w:type="fixed"/>
        <w:tblInd w:w="134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8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8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Broker or dealer registered under Section 15 of the Act (15 U.S.C. 78o).</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Bank as defined in Section 3(a)(6) of the Act (15 U.S.C. 78c).</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Insurance company as defined in Section 3(a)(19) of the Act (15 U.S.C. 78c).</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Investment company registered under Section 8 of the Investment Company Act of 1940 (15 U.S.C. 80a-8).</w:t>
            </w:r>
          </w:p>
        </w:tc>
      </w:tr>
    </w:tbl>
    <w:p>
      <w:pPr>
        <w:spacing w:after="0" w:line="198" w:lineRule="exact"/>
        <w:rPr>
          <w:sz w:val="20"/>
          <w:szCs w:val="20"/>
          <w:color w:val="auto"/>
        </w:rPr>
      </w:pPr>
    </w:p>
    <w:p>
      <w:pPr>
        <w:ind w:left="2180" w:hanging="846"/>
        <w:spacing w:after="0"/>
        <w:tabs>
          <w:tab w:leader="none" w:pos="2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 /Investment adviser in accordance with Section 240.13d-1(b)(1)(ii)(E).</w:t>
      </w:r>
    </w:p>
    <w:p>
      <w:pPr>
        <w:spacing w:after="0" w:line="225" w:lineRule="exact"/>
        <w:rPr>
          <w:sz w:val="20"/>
          <w:szCs w:val="20"/>
          <w:color w:val="auto"/>
        </w:rPr>
      </w:pPr>
    </w:p>
    <w:tbl>
      <w:tblPr>
        <w:tblLayout w:type="fixed"/>
        <w:tblInd w:w="134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(f)</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Employee benefit plan or endowment fund in accordance with Section 240.13d-1(b)(1)(ii)(F).</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Parent holding company or control person in accordance with Section 240.13d-1(b)(1)(ii)(G).</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(h)</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66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Savings association as defined in Section 3(b) of the Federal Deposit Insurance Act (12 U.S.C. 1813).</w:t>
            </w:r>
          </w:p>
        </w:tc>
      </w:tr>
    </w:tbl>
    <w:p>
      <w:pPr>
        <w:spacing w:after="0" w:line="198" w:lineRule="exact"/>
        <w:rPr>
          <w:sz w:val="20"/>
          <w:szCs w:val="20"/>
          <w:color w:val="auto"/>
        </w:rPr>
      </w:pPr>
    </w:p>
    <w:p>
      <w:pPr>
        <w:ind w:left="3000" w:hanging="1666"/>
        <w:spacing w:after="0" w:line="282" w:lineRule="auto"/>
        <w:tabs>
          <w:tab w:leader="none" w:pos="216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/Church plan that is excluded from the definition of an investment company under Section 3(c)(14) of the Investment Company Act (15 U.S.C. 80a-3).</w:t>
      </w:r>
    </w:p>
    <w:p>
      <w:pPr>
        <w:sectPr>
          <w:pgSz w:w="11900" w:h="16838" w:orient="portrait"/>
          <w:cols w:equalWidth="0" w:num="1">
            <w:col w:w="11140"/>
          </w:cols>
          <w:pgMar w:left="320" w:top="220" w:right="439" w:bottom="1440" w:gutter="0" w:footer="0" w:header="0"/>
        </w:sectPr>
      </w:pPr>
    </w:p>
    <w:p>
      <w:pPr>
        <w:spacing w:after="0" w:line="162" w:lineRule="exact"/>
        <w:rPr>
          <w:sz w:val="20"/>
          <w:szCs w:val="20"/>
          <w:color w:val="auto"/>
        </w:rPr>
      </w:pPr>
    </w:p>
    <w:p>
      <w:pPr>
        <w:ind w:left="1340"/>
        <w:spacing w:after="0"/>
        <w:tabs>
          <w:tab w:leader="none" w:pos="2160" w:val="left"/>
        </w:tabs>
        <w:rPr>
          <w:sz w:val="20"/>
          <w:szCs w:val="20"/>
          <w:color w:val="auto"/>
        </w:rPr>
      </w:pPr>
      <w:r>
        <w:rPr>
          <w:rFonts w:ascii="Times New Roman" w:cs="Times New Roman" w:eastAsia="Times New Roman" w:hAnsi="Times New Roman"/>
          <w:sz w:val="18"/>
          <w:szCs w:val="18"/>
          <w:color w:val="auto"/>
        </w:rPr>
        <w:t>(j)</w:t>
      </w:r>
      <w:r>
        <w:rPr>
          <w:sz w:val="20"/>
          <w:szCs w:val="20"/>
          <w:color w:val="auto"/>
        </w:rPr>
        <w:tab/>
      </w:r>
      <w:r>
        <w:rPr>
          <w:rFonts w:ascii="Times New Roman" w:cs="Times New Roman" w:eastAsia="Times New Roman" w:hAnsi="Times New Roman"/>
          <w:sz w:val="18"/>
          <w:szCs w:val="18"/>
          <w:color w:val="auto"/>
        </w:rPr>
        <w:t>/ /</w:t>
      </w:r>
    </w:p>
    <w:p>
      <w:pPr>
        <w:spacing w:after="0" w:line="225" w:lineRule="exact"/>
        <w:rPr>
          <w:sz w:val="20"/>
          <w:szCs w:val="20"/>
          <w:color w:val="auto"/>
        </w:rPr>
      </w:pPr>
    </w:p>
    <w:p>
      <w:pPr>
        <w:ind w:left="1340"/>
        <w:spacing w:after="0"/>
        <w:tabs>
          <w:tab w:leader="none" w:pos="2160" w:val="left"/>
        </w:tabs>
        <w:rPr>
          <w:sz w:val="20"/>
          <w:szCs w:val="20"/>
          <w:color w:val="auto"/>
        </w:rPr>
      </w:pPr>
      <w:r>
        <w:rPr>
          <w:rFonts w:ascii="Times New Roman" w:cs="Times New Roman" w:eastAsia="Times New Roman" w:hAnsi="Times New Roman"/>
          <w:sz w:val="18"/>
          <w:szCs w:val="18"/>
          <w:color w:val="auto"/>
        </w:rPr>
        <w:t>(k)</w:t>
      </w:r>
      <w:r>
        <w:rPr>
          <w:sz w:val="20"/>
          <w:szCs w:val="20"/>
          <w:color w:val="auto"/>
        </w:rPr>
        <w:tab/>
      </w: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Non-U.S. institution in accordance with Section 240.13d-1(b)(1)(ii)(J).</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Group, in accordance with Section 240.13d-1(b)(1)(ii)(J).</w:t>
      </w:r>
    </w:p>
    <w:p>
      <w:pPr>
        <w:spacing w:after="0" w:line="200" w:lineRule="exact"/>
        <w:rPr>
          <w:sz w:val="20"/>
          <w:szCs w:val="20"/>
          <w:color w:val="auto"/>
        </w:rPr>
      </w:pPr>
    </w:p>
    <w:p>
      <w:pPr>
        <w:sectPr>
          <w:pgSz w:w="11900" w:h="16838" w:orient="portrait"/>
          <w:cols w:equalWidth="0" w:num="2">
            <w:col w:w="2360" w:space="640"/>
            <w:col w:w="8140"/>
          </w:cols>
          <w:pgMar w:left="320" w:top="220" w:right="439" w:bottom="1440" w:gutter="0" w:footer="0" w:header="0"/>
          <w:type w:val="continuous"/>
        </w:sectPr>
      </w:pPr>
    </w:p>
    <w:p>
      <w:pPr>
        <w:spacing w:after="0" w:line="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ownership information reported in this Item 4 is as of the close of business on December 31, 2023.</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Bandera Partners LLC</w:t>
      </w:r>
    </w:p>
    <w:p>
      <w:pPr>
        <w:spacing w:after="0" w:line="229" w:lineRule="exact"/>
        <w:rPr>
          <w:sz w:val="20"/>
          <w:szCs w:val="20"/>
          <w:color w:val="auto"/>
        </w:rPr>
      </w:pPr>
    </w:p>
    <w:p>
      <w:pPr>
        <w:ind w:left="1300" w:right="7780" w:hanging="644"/>
        <w:spacing w:after="0" w:line="500"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3,445,360 Units</w:t>
      </w:r>
    </w:p>
    <w:p>
      <w:pPr>
        <w:spacing w:after="0" w:line="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220" w:right="4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22"/>
          <w:szCs w:val="22"/>
          <w:color w:val="auto"/>
        </w:rPr>
        <w:t>CUSIP No. 85512C105</w:t>
      </w:r>
    </w:p>
    <w:p>
      <w:pPr>
        <w:spacing w:after="0" w:line="215" w:lineRule="exact"/>
        <w:rPr>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225" w:lineRule="exact"/>
        <w:rPr>
          <w:rFonts w:ascii="Times New Roman" w:cs="Times New Roman" w:eastAsia="Times New Roman" w:hAnsi="Times New Roman"/>
          <w:sz w:val="18"/>
          <w:szCs w:val="18"/>
          <w:color w:val="auto"/>
        </w:rPr>
      </w:pPr>
    </w:p>
    <w:p>
      <w:pPr>
        <w:ind w:left="1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9.7% (based on 35,589,206 Units outstanding as of November 30, 2023, as disclosed in the Issuer’s Annual Report on Form 10-K filed with the Securities and Exchange Commission on December 6, 2023)</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5" w:lineRule="exact"/>
        <w:rPr>
          <w:sz w:val="20"/>
          <w:szCs w:val="20"/>
          <w:color w:val="auto"/>
        </w:rPr>
      </w:pPr>
    </w:p>
    <w:p>
      <w:pPr>
        <w:ind w:left="1300" w:right="7100" w:hanging="644"/>
        <w:spacing w:after="0" w:line="500"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3,445,360 Units</w:t>
      </w:r>
    </w:p>
    <w:p>
      <w:pPr>
        <w:spacing w:after="0" w:line="1" w:lineRule="exact"/>
        <w:rPr>
          <w:rFonts w:ascii="Times New Roman" w:cs="Times New Roman" w:eastAsia="Times New Roman" w:hAnsi="Times New Roman"/>
          <w:sz w:val="18"/>
          <w:szCs w:val="18"/>
          <w:color w:val="auto"/>
        </w:rPr>
      </w:pPr>
    </w:p>
    <w:p>
      <w:pPr>
        <w:ind w:left="1300" w:right="6920" w:hanging="644"/>
        <w:spacing w:after="0" w:line="500"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0 Units</w:t>
      </w:r>
    </w:p>
    <w:p>
      <w:pPr>
        <w:spacing w:after="0" w:line="1" w:lineRule="exact"/>
        <w:rPr>
          <w:rFonts w:ascii="Times New Roman" w:cs="Times New Roman" w:eastAsia="Times New Roman" w:hAnsi="Times New Roman"/>
          <w:sz w:val="18"/>
          <w:szCs w:val="18"/>
          <w:color w:val="auto"/>
        </w:rPr>
      </w:pPr>
    </w:p>
    <w:p>
      <w:pPr>
        <w:ind w:left="1300" w:right="6200" w:hanging="644"/>
        <w:spacing w:after="0" w:line="500"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3,445,360 Units</w:t>
      </w:r>
    </w:p>
    <w:p>
      <w:pPr>
        <w:spacing w:after="0" w:line="1" w:lineRule="exact"/>
        <w:rPr>
          <w:rFonts w:ascii="Times New Roman" w:cs="Times New Roman" w:eastAsia="Times New Roman" w:hAnsi="Times New Roman"/>
          <w:sz w:val="18"/>
          <w:szCs w:val="18"/>
          <w:color w:val="auto"/>
        </w:rPr>
      </w:pPr>
    </w:p>
    <w:p>
      <w:pPr>
        <w:ind w:left="1300" w:right="6020" w:hanging="644"/>
        <w:spacing w:after="0" w:line="498"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0 Units</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Gregory Bylinsky</w:t>
      </w:r>
    </w:p>
    <w:p>
      <w:pPr>
        <w:spacing w:after="0" w:line="229"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w:t>
      </w:r>
    </w:p>
    <w:p>
      <w:pPr>
        <w:spacing w:after="0" w:line="22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3,450,187 Units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225" w:lineRule="exact"/>
        <w:rPr>
          <w:rFonts w:ascii="Times New Roman" w:cs="Times New Roman" w:eastAsia="Times New Roman" w:hAnsi="Times New Roman"/>
          <w:sz w:val="18"/>
          <w:szCs w:val="18"/>
          <w:color w:val="auto"/>
        </w:rPr>
      </w:pPr>
    </w:p>
    <w:p>
      <w:pPr>
        <w:ind w:left="1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9.7% (based on 35,589,206 Units outstanding as of November 30, 2023, as disclosed in the Issuer’s Annual Report on Form 10-K filed with the Securities and Exchange Commission on December 6, 2023)</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5" w:lineRule="exact"/>
        <w:rPr>
          <w:sz w:val="20"/>
          <w:szCs w:val="20"/>
          <w:color w:val="auto"/>
        </w:rPr>
      </w:pPr>
    </w:p>
    <w:p>
      <w:pPr>
        <w:ind w:left="1300" w:right="7100" w:hanging="644"/>
        <w:spacing w:after="0" w:line="500"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4,827 Units</w:t>
      </w:r>
    </w:p>
    <w:p>
      <w:pPr>
        <w:spacing w:after="0" w:line="1" w:lineRule="exact"/>
        <w:rPr>
          <w:rFonts w:ascii="Times New Roman" w:cs="Times New Roman" w:eastAsia="Times New Roman" w:hAnsi="Times New Roman"/>
          <w:sz w:val="18"/>
          <w:szCs w:val="18"/>
          <w:color w:val="auto"/>
        </w:rPr>
      </w:pPr>
    </w:p>
    <w:p>
      <w:pPr>
        <w:ind w:left="1300" w:right="6920" w:hanging="644"/>
        <w:spacing w:after="0" w:line="500"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3,445,360 Units</w:t>
      </w:r>
    </w:p>
    <w:p>
      <w:pPr>
        <w:spacing w:after="0" w:line="1" w:lineRule="exact"/>
        <w:rPr>
          <w:rFonts w:ascii="Times New Roman" w:cs="Times New Roman" w:eastAsia="Times New Roman" w:hAnsi="Times New Roman"/>
          <w:sz w:val="18"/>
          <w:szCs w:val="18"/>
          <w:color w:val="auto"/>
        </w:rPr>
      </w:pPr>
    </w:p>
    <w:p>
      <w:pPr>
        <w:ind w:left="1300" w:right="6200" w:hanging="644"/>
        <w:spacing w:after="0" w:line="500"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4,827 Units</w:t>
      </w:r>
    </w:p>
    <w:p>
      <w:pPr>
        <w:spacing w:after="0" w:line="1" w:lineRule="exact"/>
        <w:rPr>
          <w:rFonts w:ascii="Times New Roman" w:cs="Times New Roman" w:eastAsia="Times New Roman" w:hAnsi="Times New Roman"/>
          <w:sz w:val="18"/>
          <w:szCs w:val="18"/>
          <w:color w:val="auto"/>
        </w:rPr>
      </w:pPr>
    </w:p>
    <w:p>
      <w:pPr>
        <w:ind w:left="1300" w:right="6020" w:hanging="644"/>
        <w:spacing w:after="0" w:line="500"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3,445,360 Units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color w:val="auto"/>
        </w:rPr>
        <w:t>CUSIP No. 85512C105</w:t>
      </w:r>
    </w:p>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Jefferson Gramm</w:t>
      </w:r>
    </w:p>
    <w:p>
      <w:pPr>
        <w:spacing w:after="0" w:line="229" w:lineRule="exact"/>
        <w:rPr>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w:t>
      </w:r>
    </w:p>
    <w:p>
      <w:pPr>
        <w:spacing w:after="0" w:line="22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3,651,483 Units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225" w:lineRule="exact"/>
        <w:rPr>
          <w:rFonts w:ascii="Times New Roman" w:cs="Times New Roman" w:eastAsia="Times New Roman" w:hAnsi="Times New Roman"/>
          <w:sz w:val="18"/>
          <w:szCs w:val="18"/>
          <w:color w:val="auto"/>
        </w:rPr>
      </w:pPr>
    </w:p>
    <w:p>
      <w:pPr>
        <w:ind w:left="1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10.3% (based on 35,589,206 Units outstanding as of November 30, 2023, as disclosed in the Issuer’s Annual Report on Form 10-K filed with the Securities and Exchange Commission on December 6, 2023)</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5" w:lineRule="exact"/>
        <w:rPr>
          <w:sz w:val="20"/>
          <w:szCs w:val="20"/>
          <w:color w:val="auto"/>
        </w:rPr>
      </w:pPr>
    </w:p>
    <w:p>
      <w:pPr>
        <w:ind w:left="1300" w:right="7120" w:hanging="644"/>
        <w:spacing w:after="0" w:line="500"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206,483 Units</w:t>
      </w:r>
    </w:p>
    <w:p>
      <w:pPr>
        <w:spacing w:after="0" w:line="1" w:lineRule="exact"/>
        <w:rPr>
          <w:rFonts w:ascii="Times New Roman" w:cs="Times New Roman" w:eastAsia="Times New Roman" w:hAnsi="Times New Roman"/>
          <w:sz w:val="18"/>
          <w:szCs w:val="18"/>
          <w:color w:val="auto"/>
        </w:rPr>
      </w:pPr>
    </w:p>
    <w:p>
      <w:pPr>
        <w:ind w:left="1300" w:right="6940" w:hanging="644"/>
        <w:spacing w:after="0" w:line="500"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3,445,360 Units</w:t>
      </w:r>
    </w:p>
    <w:p>
      <w:pPr>
        <w:spacing w:after="0" w:line="1" w:lineRule="exact"/>
        <w:rPr>
          <w:rFonts w:ascii="Times New Roman" w:cs="Times New Roman" w:eastAsia="Times New Roman" w:hAnsi="Times New Roman"/>
          <w:sz w:val="18"/>
          <w:szCs w:val="18"/>
          <w:color w:val="auto"/>
        </w:rPr>
      </w:pPr>
    </w:p>
    <w:p>
      <w:pPr>
        <w:ind w:left="1300" w:right="6220" w:hanging="644"/>
        <w:spacing w:after="0" w:line="500"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206,483 Units</w:t>
      </w:r>
    </w:p>
    <w:p>
      <w:pPr>
        <w:spacing w:after="0" w:line="1" w:lineRule="exact"/>
        <w:rPr>
          <w:rFonts w:ascii="Times New Roman" w:cs="Times New Roman" w:eastAsia="Times New Roman" w:hAnsi="Times New Roman"/>
          <w:sz w:val="18"/>
          <w:szCs w:val="18"/>
          <w:color w:val="auto"/>
        </w:rPr>
      </w:pPr>
    </w:p>
    <w:p>
      <w:pPr>
        <w:ind w:left="1300" w:right="6040" w:hanging="644"/>
        <w:spacing w:after="0" w:line="498"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3,445,360 Units</w:t>
      </w:r>
    </w:p>
    <w:p>
      <w:pPr>
        <w:spacing w:after="0" w:line="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22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right to receive dividends from, or the proceeds from the sale of, the Master Fund’s Units is held by Bandera Master Fund, a private investment fund for which Bandera Partners serves as investment manager. Bandera Partners, Mr. Bylinsky and Mr. Gramm disclaim beneficial ownership of the Master Fund’s Units reported in this statement pursuant to Rule 13d-4 under the Securities Exchange Act of 1934, as amended.</w:t>
      </w:r>
    </w:p>
    <w:p>
      <w:pPr>
        <w:spacing w:after="0" w:line="172" w:lineRule="exact"/>
        <w:rPr>
          <w:sz w:val="20"/>
          <w:szCs w:val="20"/>
          <w:color w:val="auto"/>
        </w:rPr>
      </w:pPr>
    </w:p>
    <w:p>
      <w:pPr>
        <w:jc w:val="both"/>
        <w:ind w:left="1300" w:right="2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 or Control Person.</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color w:val="auto"/>
        </w:rPr>
        <w:t>CUSIP No. 85512C105</w:t>
      </w:r>
    </w:p>
    <w:p>
      <w:pPr>
        <w:spacing w:after="0" w:line="21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29"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See Exhibit 99.1 to the Schedule 13G filed by the Reporting Persons with the Securities and Exchange Commission on February 14, 2019.</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color w:val="auto"/>
        </w:rPr>
        <w:t>CUSIP No. 85512C105</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his knowledge and belief, each of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13, 2024</w:t>
      </w:r>
    </w:p>
    <w:p>
      <w:pPr>
        <w:spacing w:after="0" w:line="2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BANDERA PARTNERS LLC</w:t>
      </w:r>
    </w:p>
    <w:p>
      <w:pPr>
        <w:spacing w:after="0" w:line="225" w:lineRule="exact"/>
        <w:rPr>
          <w:sz w:val="20"/>
          <w:szCs w:val="20"/>
          <w:color w:val="auto"/>
        </w:rPr>
      </w:pPr>
    </w:p>
    <w:tbl>
      <w:tblPr>
        <w:tblLayout w:type="fixed"/>
        <w:tblInd w:w="574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Gregory Bylinsky</w:t>
            </w:r>
          </w:p>
        </w:tc>
      </w:tr>
      <w:tr>
        <w:trPr>
          <w:trHeight w:val="191"/>
        </w:trPr>
        <w:tc>
          <w:tcPr>
            <w:tcW w:w="660" w:type="dxa"/>
            <w:vAlign w:val="bottom"/>
          </w:tcPr>
          <w:p>
            <w:pPr>
              <w:spacing w:after="0"/>
              <w:rPr>
                <w:sz w:val="16"/>
                <w:szCs w:val="16"/>
                <w:color w:val="auto"/>
              </w:rPr>
            </w:pPr>
          </w:p>
        </w:tc>
        <w:tc>
          <w:tcPr>
            <w:tcW w:w="7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rPr>
              <w:t>Gregory Bylinsky</w:t>
            </w:r>
          </w:p>
        </w:tc>
      </w:tr>
      <w:tr>
        <w:trPr>
          <w:trHeight w:val="234"/>
        </w:trPr>
        <w:tc>
          <w:tcPr>
            <w:tcW w:w="660" w:type="dxa"/>
            <w:vAlign w:val="bottom"/>
          </w:tcPr>
          <w:p>
            <w:pPr>
              <w:spacing w:after="0"/>
              <w:rPr>
                <w:sz w:val="20"/>
                <w:szCs w:val="20"/>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Managing Member</w:t>
            </w:r>
          </w:p>
        </w:tc>
      </w:tr>
    </w:tbl>
    <w:p>
      <w:pPr>
        <w:spacing w:after="0" w:line="200" w:lineRule="exact"/>
        <w:rPr>
          <w:sz w:val="20"/>
          <w:szCs w:val="20"/>
          <w:color w:val="auto"/>
        </w:rPr>
      </w:pPr>
    </w:p>
    <w:p>
      <w:pPr>
        <w:spacing w:after="0" w:line="21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Gregory Bylinsky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17145</wp:posOffset>
            </wp:positionV>
            <wp:extent cx="34461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Gregory Bylinsky</w:t>
      </w:r>
    </w:p>
    <w:p>
      <w:pPr>
        <w:spacing w:after="0" w:line="200" w:lineRule="exact"/>
        <w:rPr>
          <w:sz w:val="20"/>
          <w:szCs w:val="20"/>
          <w:color w:val="auto"/>
        </w:rPr>
      </w:pPr>
    </w:p>
    <w:p>
      <w:pPr>
        <w:spacing w:after="0" w:line="23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Jefferson Gramm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17145</wp:posOffset>
            </wp:positionV>
            <wp:extent cx="34461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Jefferson Gramm</w:t>
      </w: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22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bullet"/>
      <w:start w:val="1"/>
    </w:lvl>
  </w:abstractNum>
  <w:abstractNum w:abstractNumId="3">
    <w:nsid w:val="7545E146"/>
    <w:multiLevelType w:val="hybridMultilevel"/>
    <w:lvl w:ilvl="0">
      <w:lvlJc w:val="left"/>
      <w:lvlText w:val="(%1)"/>
      <w:numFmt w:val="lowerLetter"/>
      <w:start w:val="5"/>
    </w:lvl>
  </w:abstractNum>
  <w:abstractNum w:abstractNumId="4">
    <w:nsid w:val="515F007C"/>
    <w:multiLevelType w:val="hybridMultilevel"/>
    <w:lvl w:ilvl="0">
      <w:lvlJc w:val="left"/>
      <w:lvlText w:val="(%1)"/>
      <w:numFmt w:val="lowerRoman"/>
      <w:start w:val="1"/>
    </w:lvl>
  </w:abstractNum>
  <w:abstractNum w:abstractNumId="5">
    <w:nsid w:val="5BD062C2"/>
    <w:multiLevelType w:val="hybridMultilevel"/>
    <w:lvl w:ilvl="0">
      <w:lvlJc w:val="left"/>
      <w:lvlText w:val="(%1)"/>
      <w:numFmt w:val="lowerLetter"/>
      <w:start w:val="1"/>
    </w:lvl>
  </w:abstractNum>
  <w:abstractNum w:abstractNumId="6">
    <w:nsid w:val="12200854"/>
    <w:multiLevelType w:val="hybridMultilevel"/>
    <w:lvl w:ilvl="0">
      <w:lvlJc w:val="left"/>
      <w:lvlText w:val="(%1)"/>
      <w:numFmt w:val="lowerLetter"/>
      <w:start w:val="2"/>
    </w:lvl>
  </w:abstractNum>
  <w:abstractNum w:abstractNumId="7">
    <w:nsid w:val="4DB127F8"/>
    <w:multiLevelType w:val="hybridMultilevel"/>
    <w:lvl w:ilvl="0">
      <w:lvlJc w:val="left"/>
      <w:lvlText w:val="(%1)"/>
      <w:numFmt w:val="lowerRoman"/>
      <w:start w:val="1"/>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Roman"/>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2024-02-13T16:36:06Z</dcterms:created>
  <dcterms:modified xsi:type="dcterms:W3CDTF">2024-02-13T16:36:06Z</dcterms:modified>
</cp:coreProperties>
</file>