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64770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-94615</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580" w:hanging="572"/>
        <w:spacing w:after="0" w:line="185" w:lineRule="auto"/>
        <w:tabs>
          <w:tab w:leader="none" w:pos="580" w:val="left"/>
        </w:tabs>
        <w:numPr>
          <w:ilvl w:val="0"/>
          <w:numId w:val="1"/>
        </w:numPr>
        <w:rPr>
          <w:rFonts w:ascii="MS PGothic" w:cs="MS PGothic" w:eastAsia="MS PGothic" w:hAnsi="MS PGothic"/>
          <w:sz w:val="23"/>
          <w:szCs w:val="23"/>
          <w:color w:val="auto"/>
          <w:vertAlign w:val="subscript"/>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2020</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580" w:hanging="572"/>
        <w:spacing w:after="0" w:line="185" w:lineRule="auto"/>
        <w:tabs>
          <w:tab w:leader="none" w:pos="580" w:val="left"/>
        </w:tabs>
        <w:numPr>
          <w:ilvl w:val="0"/>
          <w:numId w:val="2"/>
        </w:numPr>
        <w:rPr>
          <w:rFonts w:ascii="MS PGothic" w:cs="MS PGothic" w:eastAsia="MS PGothic" w:hAnsi="MS PGothic"/>
          <w:sz w:val="30"/>
          <w:szCs w:val="30"/>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83" w:lineRule="exact"/>
        <w:rPr>
          <w:sz w:val="24"/>
          <w:szCs w:val="24"/>
          <w:color w:val="auto"/>
        </w:rPr>
      </w:pPr>
    </w:p>
    <w:p>
      <w:pPr>
        <w:ind w:left="34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001-14129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STAR GROUP, L.P.</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73025</wp:posOffset>
            </wp:positionV>
            <wp:extent cx="1645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980" w:type="dxa"/>
            <w:vAlign w:val="bottom"/>
          </w:tcPr>
          <w:p>
            <w:pPr>
              <w:jc w:val="center"/>
              <w:ind w:left="152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jc w:val="right"/>
              <w:ind w:right="2305"/>
              <w:spacing w:after="0"/>
              <w:rPr>
                <w:sz w:val="20"/>
                <w:szCs w:val="20"/>
                <w:color w:val="auto"/>
              </w:rPr>
            </w:pPr>
            <w:r>
              <w:rPr>
                <w:rFonts w:ascii="Times New Roman" w:cs="Times New Roman" w:eastAsia="Times New Roman" w:hAnsi="Times New Roman"/>
                <w:sz w:val="16"/>
                <w:szCs w:val="16"/>
                <w:b w:val="1"/>
                <w:bCs w:val="1"/>
                <w:color w:val="auto"/>
              </w:rPr>
              <w:t>06-1437793</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2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jc w:val="center"/>
              <w:ind w:right="214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8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7480" w:type="dxa"/>
            <w:vAlign w:val="bottom"/>
            <w:gridSpan w:val="8"/>
          </w:tcPr>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9 West Broad Street, Suite 310, Stamford, Connecticut</w:t>
            </w:r>
          </w:p>
        </w:tc>
        <w:tc>
          <w:tcPr>
            <w:tcW w:w="420" w:type="dxa"/>
            <w:vAlign w:val="bottom"/>
          </w:tcPr>
          <w:p>
            <w:pPr>
              <w:spacing w:after="0"/>
              <w:rPr>
                <w:sz w:val="22"/>
                <w:szCs w:val="22"/>
                <w:color w:val="auto"/>
              </w:rPr>
            </w:pPr>
          </w:p>
        </w:tc>
        <w:tc>
          <w:tcPr>
            <w:tcW w:w="3340" w:type="dxa"/>
            <w:vAlign w:val="bottom"/>
          </w:tcPr>
          <w:p>
            <w:pPr>
              <w:jc w:val="right"/>
              <w:ind w:right="2505"/>
              <w:spacing w:after="0"/>
              <w:rPr>
                <w:sz w:val="20"/>
                <w:szCs w:val="20"/>
                <w:color w:val="auto"/>
              </w:rPr>
            </w:pPr>
            <w:r>
              <w:rPr>
                <w:rFonts w:ascii="Times New Roman" w:cs="Times New Roman" w:eastAsia="Times New Roman" w:hAnsi="Times New Roman"/>
                <w:sz w:val="16"/>
                <w:szCs w:val="16"/>
                <w:b w:val="1"/>
                <w:bCs w:val="1"/>
                <w:color w:val="auto"/>
              </w:rPr>
              <w:t>06902</w:t>
            </w:r>
          </w:p>
        </w:tc>
        <w:tc>
          <w:tcPr>
            <w:tcW w:w="0" w:type="dxa"/>
            <w:vAlign w:val="bottom"/>
          </w:tcPr>
          <w:p>
            <w:pPr>
              <w:spacing w:after="0"/>
              <w:rPr>
                <w:sz w:val="1"/>
                <w:szCs w:val="1"/>
                <w:color w:val="auto"/>
              </w:rPr>
            </w:pPr>
          </w:p>
        </w:tc>
      </w:tr>
      <w:tr>
        <w:trPr>
          <w:trHeight w:val="190"/>
        </w:trPr>
        <w:tc>
          <w:tcPr>
            <w:tcW w:w="398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jc w:val="center"/>
              <w:ind w:right="212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8"/>
        </w:trPr>
        <w:tc>
          <w:tcPr>
            <w:tcW w:w="3980" w:type="dxa"/>
            <w:vAlign w:val="bottom"/>
          </w:tcPr>
          <w:p>
            <w:pPr>
              <w:spacing w:after="0"/>
              <w:rPr>
                <w:sz w:val="19"/>
                <w:szCs w:val="19"/>
                <w:color w:val="auto"/>
              </w:rPr>
            </w:pPr>
          </w:p>
        </w:tc>
        <w:tc>
          <w:tcPr>
            <w:tcW w:w="2480" w:type="dxa"/>
            <w:vAlign w:val="bottom"/>
            <w:gridSpan w:val="4"/>
          </w:tcPr>
          <w:p>
            <w:pPr>
              <w:jc w:val="center"/>
              <w:ind w:left="719"/>
              <w:spacing w:after="0"/>
              <w:rPr>
                <w:sz w:val="20"/>
                <w:szCs w:val="20"/>
                <w:color w:val="auto"/>
              </w:rPr>
            </w:pPr>
            <w:r>
              <w:rPr>
                <w:rFonts w:ascii="Times New Roman" w:cs="Times New Roman" w:eastAsia="Times New Roman" w:hAnsi="Times New Roman"/>
                <w:sz w:val="18"/>
                <w:szCs w:val="18"/>
                <w:b w:val="1"/>
                <w:bCs w:val="1"/>
                <w:color w:val="auto"/>
                <w:w w:val="99"/>
              </w:rPr>
              <w:t>(203) 328-7310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350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900" w:type="dxa"/>
            <w:vAlign w:val="bottom"/>
            <w:gridSpan w:val="9"/>
          </w:tcPr>
          <w:p>
            <w:pPr>
              <w:jc w:val="center"/>
              <w:ind w:left="326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98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60" w:type="dxa"/>
            <w:vAlign w:val="bottom"/>
            <w:gridSpan w:val="2"/>
            <w:vMerge w:val="restart"/>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920" w:type="dxa"/>
            <w:vAlign w:val="bottom"/>
            <w:tcBorders>
              <w:bottom w:val="single" w:sz="8" w:color="auto"/>
            </w:tcBorders>
            <w:gridSpan w:val="2"/>
          </w:tcPr>
          <w:p>
            <w:pPr>
              <w:spacing w:after="0"/>
              <w:rPr>
                <w:sz w:val="15"/>
                <w:szCs w:val="15"/>
                <w:color w:val="auto"/>
              </w:rPr>
            </w:pPr>
          </w:p>
        </w:tc>
        <w:tc>
          <w:tcPr>
            <w:tcW w:w="37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980" w:type="dxa"/>
            <w:vAlign w:val="bottom"/>
          </w:tcPr>
          <w:p>
            <w:pPr>
              <w:ind w:left="1800"/>
              <w:spacing w:after="0"/>
              <w:rPr>
                <w:sz w:val="20"/>
                <w:szCs w:val="20"/>
                <w:color w:val="auto"/>
              </w:rPr>
            </w:pPr>
            <w:r>
              <w:rPr>
                <w:rFonts w:ascii="Times New Roman" w:cs="Times New Roman" w:eastAsia="Times New Roman" w:hAnsi="Times New Roman"/>
                <w:sz w:val="16"/>
                <w:szCs w:val="16"/>
                <w:b w:val="1"/>
                <w:bCs w:val="1"/>
                <w:color w:val="auto"/>
              </w:rPr>
              <w:t>Common Units</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SGU</w:t>
            </w:r>
          </w:p>
        </w:tc>
        <w:tc>
          <w:tcPr>
            <w:tcW w:w="420" w:type="dxa"/>
            <w:vAlign w:val="bottom"/>
          </w:tcPr>
          <w:p>
            <w:pPr>
              <w:spacing w:after="0"/>
              <w:rPr>
                <w:sz w:val="22"/>
                <w:szCs w:val="22"/>
                <w:color w:val="auto"/>
              </w:rPr>
            </w:pPr>
          </w:p>
        </w:tc>
        <w:tc>
          <w:tcPr>
            <w:tcW w:w="3340" w:type="dxa"/>
            <w:vAlign w:val="bottom"/>
          </w:tcPr>
          <w:p>
            <w:pPr>
              <w:jc w:val="center"/>
              <w:ind w:right="1265"/>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6"/>
        </w:trPr>
        <w:tc>
          <w:tcPr>
            <w:tcW w:w="7900" w:type="dxa"/>
            <w:vAlign w:val="bottom"/>
            <w:gridSpan w:val="9"/>
          </w:tcPr>
          <w:p>
            <w:pPr>
              <w:jc w:val="center"/>
              <w:ind w:left="328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4320" w:type="dxa"/>
            <w:vAlign w:val="bottom"/>
            <w:gridSpan w:val="2"/>
          </w:tcPr>
          <w:p>
            <w:pPr>
              <w:spacing w:after="0"/>
              <w:rPr>
                <w:sz w:val="7"/>
                <w:szCs w:val="7"/>
                <w:color w:val="auto"/>
              </w:rPr>
            </w:pPr>
          </w:p>
        </w:tc>
        <w:tc>
          <w:tcPr>
            <w:tcW w:w="2600" w:type="dxa"/>
            <w:vAlign w:val="bottom"/>
            <w:tcBorders>
              <w:bottom w:val="single" w:sz="8" w:color="auto"/>
            </w:tcBorders>
            <w:gridSpan w:val="5"/>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40" w:type="dxa"/>
            <w:vAlign w:val="bottom"/>
            <w:vMerge w:val="restart"/>
          </w:tcPr>
          <w:p>
            <w:pPr>
              <w:jc w:val="center"/>
              <w:ind w:right="2605"/>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7480" w:type="dxa"/>
            <w:vAlign w:val="bottom"/>
            <w:gridSpan w:val="8"/>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vMerge w:val="continue"/>
          </w:tcPr>
          <w:p>
            <w:pPr>
              <w:spacing w:after="0"/>
              <w:rPr>
                <w:sz w:val="22"/>
                <w:szCs w:val="22"/>
                <w:color w:val="auto"/>
              </w:rPr>
            </w:pPr>
          </w:p>
        </w:tc>
        <w:tc>
          <w:tcPr>
            <w:tcW w:w="3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80" w:type="dxa"/>
            <w:vAlign w:val="bottom"/>
            <w:gridSpan w:val="8"/>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Yes</w:t>
            </w:r>
          </w:p>
        </w:tc>
        <w:tc>
          <w:tcPr>
            <w:tcW w:w="3340" w:type="dxa"/>
            <w:vAlign w:val="bottom"/>
          </w:tcPr>
          <w:p>
            <w:pPr>
              <w:jc w:val="center"/>
              <w:ind w:right="2605"/>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40" w:firstLine="58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firstLine="58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80" w:firstLine="589"/>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6"/>
        </w:trPr>
        <w:tc>
          <w:tcPr>
            <w:tcW w:w="21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Large accelerated filer</w:t>
            </w:r>
          </w:p>
        </w:tc>
        <w:tc>
          <w:tcPr>
            <w:tcW w:w="364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40"/>
              <w:spacing w:after="0" w:line="156" w:lineRule="exact"/>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4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6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ind w:right="640" w:firstLine="58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300" w:firstLine="58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600"/>
        <w:spacing w:after="0" w:line="161" w:lineRule="exact"/>
        <w:tabs>
          <w:tab w:leader="none" w:pos="7260" w:val="left"/>
          <w:tab w:leader="none" w:pos="78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The aggregate market value of the registrant’s common units held by non-affiliates on March 31, 2020 was approximately $314,484,724.</w:t>
      </w:r>
    </w:p>
    <w:p>
      <w:pPr>
        <w:spacing w:after="0" w:line="4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As of November 30, 2020, the registrant had 41,466,672 common units outstanding.</w:t>
      </w:r>
    </w:p>
    <w:p>
      <w:pPr>
        <w:spacing w:after="0" w:line="4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STAR GROUP, L.P.</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 FORM 10-K ANNUAL REPORT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40" w:type="dxa"/>
            <w:vAlign w:val="bottom"/>
          </w:tcPr>
          <w:p>
            <w:pPr>
              <w:spacing w:after="0"/>
              <w:rPr>
                <w:sz w:val="24"/>
                <w:szCs w:val="24"/>
                <w:color w:val="auto"/>
              </w:rPr>
            </w:pPr>
          </w:p>
        </w:tc>
        <w:tc>
          <w:tcPr>
            <w:tcW w:w="9400" w:type="dxa"/>
            <w:vAlign w:val="bottom"/>
            <w:vMerge w:val="restart"/>
          </w:tcPr>
          <w:p>
            <w:pPr>
              <w:ind w:left="3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w:t>
              </w:r>
            </w:hyperlink>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94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Business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Unresolved Staff Comments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Properties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Legal Proceedings—Litigation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Market for the Registrant’s Units and Related Matters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Selected Historical Financial and Operating Data</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Financial Statements and Supplementary Data</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Directors, Executive Officers and Corporate Governance</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Certain Relationships and Related Transactions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Principal Accounting Fees and Services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400" w:type="dxa"/>
            <w:vAlign w:val="bottom"/>
          </w:tcPr>
          <w:p>
            <w:pPr>
              <w:ind w:left="32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Exhibits and Financial Statement Schedules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9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89"/>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“forward-looking statements” which represent our expectations or beliefs concerning future events that involve risks and uncertainties, including those associated with the severity and duration of the novel coronavirus, or COVID-19, pandemic, the pandemic’s impact on the U.S. and global economies, the timing, scope and effectiveness of federal, state and local governmental responses to the pandemic, the effect of weather conditions on our financial performance, the price and supply of the products that we sell, the consumption patterns of our customers, our ability to obtain satisfactory gross profit margins, our ability to obtain new customers and retain existing customers, our ability to make strategic acquisitions, the impact of litigation, our ability to contract for our current and future supply needs, natural gas conversions, future union relations and the outcome of current and future union negotiations, the impact of current and future governmental regulations, including climate change, environmental, health, and safety regulations, the ability to attract and retain employees, customer credit worthiness, counterparty credit worthiness, marketing plans, potential cyber-attacks, general economic conditions and new technology.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and actual results may differ materially from those projected as a result of certain risks and uncertainties. These risks and uncertainties include, but are not limited to, those set forth in this Report under the heading “Risk Factors,” “Business Strategy” and “Management’s Discussion and Analysis.” Important factors that could cause actual results to differ materially from our expectations (“Cautionary Statements”) are disclosed in this Report. Currently, one of the most significant factors, is the potential adverse effect of the COVID-19 pandemic on the financial condition, results of operations, cash flows and performance of the Company, its customers and counterparties, and the global economy and financial markets. The extent to which COVID-19 impacts us and our customers will depend on future developments, which are highly uncertain and cannot be predicted with confidence, including the scope, severity and duration of the pandemic, the actions taken to contain the pandemic or mitigate its impact, the direct and indirect economic effects of the pandemic and containment measures, among others.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30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121"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Star Group, L.P. (“Star” the “Company,” “we,” “us,” or “our”) is a home heating oil and propane distributor and services provider with one reportable operating segment that principally provides heating related services to residential and commercial customers. At a special meeting of unitholders held on October 25, 2017, our unitholders voted in favor of proposals to have the Company elect to be treated as a corporation, instead of a partnership, for federal income tax purposes (commonly referred to as a “check-the-box election”), along with amendments to our partnership agreement to effect such changes in income tax classification, in each case effective November 1, 2017. In addition, the Company changed its name, effective October 25, 2017, from “Star Gas Partners, L.P.” to “Star Group, L.P.” to more closely align our name with the scope of our product and service offerings. For tax years after December 31, 2017, unitholders will receive a Form 1099-DIV and will not receive a Schedule K-1 as in previous tax years. Our legal structure has remained a Delaware limited partnership and the distribution provisions under our limited partnership agreement, including the incentive distribution structure has remained unchanged. As of November 30, 2020, we had outstanding 41.5 million common partner units (NYSE: “SGU”) representing a 99.2% limited partner interest in Star, and 0.3 million general partner units, representing a 0.8% general partner interest in Star.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8"/>
          <w:szCs w:val="18"/>
          <w:color w:val="auto"/>
        </w:rPr>
        <w:t>The following chart depicts the ownership of Star as of 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154305</wp:posOffset>
            </wp:positionV>
            <wp:extent cx="5263515" cy="1894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6351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Star is organized as follows:</w:t>
      </w:r>
    </w:p>
    <w:p>
      <w:pPr>
        <w:spacing w:after="0" w:line="117" w:lineRule="exact"/>
        <w:rPr>
          <w:sz w:val="20"/>
          <w:szCs w:val="20"/>
          <w:color w:val="auto"/>
        </w:rPr>
      </w:pPr>
    </w:p>
    <w:p>
      <w:pPr>
        <w:ind w:left="1020" w:right="60" w:hanging="432"/>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Kestrel Heat, LLC, a Delaware limited liability company (“Kestrel Heat” or the “general partner”). The Board of Directors of Kestrel Heat (the “Board”) is appointed by its sole member, Kestrel Energy Partners, LLC, a Delaware limited liability company (“Kestrel”).</w:t>
      </w:r>
    </w:p>
    <w:p>
      <w:pPr>
        <w:spacing w:after="0" w:line="67" w:lineRule="exact"/>
        <w:rPr>
          <w:rFonts w:ascii="Times New Roman" w:cs="Times New Roman" w:eastAsia="Times New Roman" w:hAnsi="Times New Roman"/>
          <w:sz w:val="18"/>
          <w:szCs w:val="18"/>
          <w:color w:val="auto"/>
        </w:rPr>
      </w:pPr>
    </w:p>
    <w:p>
      <w:pPr>
        <w:ind w:left="1020" w:right="160" w:hanging="432"/>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conducted through Petro Holdings, Inc., a Minnesota corporation that is a wholly owned subsidiary of Star Acquisitions, Inc., and its subsidiaries.</w:t>
      </w:r>
    </w:p>
    <w:p>
      <w:pPr>
        <w:spacing w:after="0" w:line="53" w:lineRule="exact"/>
        <w:rPr>
          <w:rFonts w:ascii="Times New Roman" w:cs="Times New Roman" w:eastAsia="Times New Roman" w:hAnsi="Times New Roman"/>
          <w:sz w:val="18"/>
          <w:szCs w:val="18"/>
          <w:color w:val="auto"/>
        </w:rPr>
      </w:pPr>
    </w:p>
    <w:p>
      <w:pPr>
        <w:ind w:left="1020" w:right="120" w:hanging="432"/>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 wholly owned subsidiary of Star. PH&amp;P is the borrower and Star is the guarantor of the fifth amended and restated credit agreement’s $130 million five-year senior secured term loan and the $300 million ($450 million during the heating season of December through April of each year) revolving credit facility, both due December 4, 2024. (See Note 13—Long-Term Debt and Bank Facility Borrowings).</w:t>
      </w:r>
    </w:p>
    <w:p>
      <w:pPr>
        <w:spacing w:after="0" w:line="180"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We file annual, quarterly, current and other reports and information with the Securities and Exchange Commission, or SEC. These filings can be viewed and downloaded from the Internet at the SEC’s website at www.sec.gov. In addition, these SEC filings are available at no cost as soon as reasonably practicable after the filing thereof on our website at www.stargrouplp.com/sec.cfm. You may also obtain copies of these filings and other information at the offices of the New York Stock Exchange located at 11 Wall Street, New York, New York 10005. Please note that any Internet addresses provided in this Annual Report on Form 10-K are for informational purposes only and are not intended to be hyperlinks. Accordingly, no information found and/or provided at such Internet addresses is intended or deemed to be incorporated by reference herein.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Legal Structure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chart summarizes our structure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717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We are a home heating oil and propane distributor and service provider to residential and commercial customers who heat their homes and buildings primarily in the Northeast and Mid-Atlantic U.S. regions. As of September 30, 2020, we sold home heating oil and propane to approximately 440,100 full service residential and commercial customers and 64,400 customers on a delivery only basis. Approximately 231,000 of these customers, or 46%, are located in the New York City metropolitan area. We believe we are the largest retail distributor of home heating oil in the United States, based upon sales volume with a market share in excess of 5.5%. We also sell gasoline and diesel fuel to approximately 26,400 customers. We install, maintain, and repair heating and air conditioning equipment and to a lesser extent provide these services outside our heating oil and propane customer base including 17,600 service contracts for natural gas and other heating systems. In October 2020 we sold propane assets which included a customer list of approximately 12,300 customers. During fiscal 2020, total sales were comprised approximately 63% from sales of home heating oil and propane, 18% from other petroleum products, the majority of which is diesel and gasoline, and 19% from the installation and repair of heating and air conditioning equipment and ancillary services. We provide home heating equipment repair service and natural gas service 24-hours-a-day, seven-days-a-week, 52 weeks a year. These services are an integral part of our business, and are intended to maximize customer satisfaction and loyalty.</w:t>
      </w:r>
    </w:p>
    <w:p>
      <w:pPr>
        <w:spacing w:after="0" w:line="84"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We conduct our business through an operating subsidiary, Petro Holdings, Inc., utilizing multiple local brand names, such as Petro Home Services, Meenan, and Griffith Energy Services, Inc.</w:t>
      </w:r>
    </w:p>
    <w:p>
      <w:pPr>
        <w:spacing w:after="0" w:line="54"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We also offer several pricing alternatives to our residential home heating oil customers, including a variable price (market based) option and a price-protected option, the latter of which either sets the maximum price or a fixed price that a customer will pay. Users choose the plan they feel best suits them which we believe increases customer satisfaction. Approximately 95% of our full service residential and commercial home heating oil customers automatically receive deliveries based on prevailing weather conditions. In addition, approximately 34% of our residential customers take advantage of our “smart pay” budget payment plan under which their estimated annual oil and propane deliveries and service billings are paid for in a series of equal monthly installments. We use derivative instruments as needed to mitigate our exposure to market risk associated with our price-protected offerings and the storing of our physical home heating oil inventory. Given our size, we are able to realize certain benefits of scale and provide consistent, strong customer service.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 w:name="page6"/>
    <w:bookmarkEnd w:id="5"/>
    <w:p>
      <w:pPr>
        <w:ind w:right="680" w:firstLine="589"/>
        <w:spacing w:after="0" w:line="312" w:lineRule="auto"/>
        <w:rPr>
          <w:sz w:val="20"/>
          <w:szCs w:val="20"/>
          <w:color w:val="auto"/>
        </w:rPr>
      </w:pPr>
      <w:r>
        <w:rPr>
          <w:rFonts w:ascii="Times New Roman" w:cs="Times New Roman" w:eastAsia="Times New Roman" w:hAnsi="Times New Roman"/>
          <w:sz w:val="17"/>
          <w:szCs w:val="17"/>
          <w:color w:val="auto"/>
        </w:rPr>
        <w:t>Currently, we have heating oil and/or propane customers in the following states: Connecticut, Delaware, Maine, Maryland, Massachusetts, Michigan, New Hampshire, New Jersey, New York, Pennsylvania, Rhode Island, Vermont, Virginia, West Virginia and the District of Columbia.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Characteristics</w:t>
      </w:r>
    </w:p>
    <w:p>
      <w:pPr>
        <w:spacing w:after="0" w:line="121"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Home heating oil is primarily used as a source of fuel to heat residences and businesses in the Northeast and Mid-Atlantic regions. According to the U.S. Department of Energy—Energy Information Administration, Residential Energy Consumption Survey (released May 2018), these regions account for 83% (4.8 million of 5.8 million) of the households in the United States where heating oil is the main space-heating fuel and 23% (4.7 million of 20.4 million) of the homes in these regions use home heating oil as their main space-heating fuel. Our experience has been that customers have a tendency to increase their conservation efforts as the price of home heating oil increases, thereby reducing their consumption.</w:t>
      </w:r>
    </w:p>
    <w:p>
      <w:pPr>
        <w:spacing w:after="0" w:line="75"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The retail home heating oil industry is mature, with total market demand expected to decline in the foreseeable future due to conversions to natural gas, availability of other alternative energy sources and the installations of more fuel efficient heating systems. Therefore, our ability to maintain our business or grow within the industry is dependent on the acquisition of other retail distributors, the success of our marketing programs, and the growth of our other service offerings. Based on our records, our customer conversions to natural gas have ranged between 1.1% and 1.4% per year over the last five years. We believe this may continue or even increase. In addition, there are legislative and regulatory efforts underway in several states seeking to encourage homeowners to reduce the consumption of carbon based fuels that we sell.</w:t>
      </w:r>
    </w:p>
    <w:p>
      <w:pPr>
        <w:spacing w:after="0" w:line="79"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The retail home heating oil industry is highly fragmented, characterized by a large number of relatively small, independently owned and operated local distributors. Some dealers provide full service, as we do, and others offer delivery only on a cash-on-delivery basis, which we also do to a significantly lesser extent. In addition, the industry is complex and costly due to regulations, working capital requirements, and the costs and risks of hedging for price protected customers.</w:t>
      </w:r>
    </w:p>
    <w:p>
      <w:pPr>
        <w:spacing w:after="0" w:line="72"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Propane is a by-product of natural gas processing and petroleum refining. Propane use falls into three broad categories: residential and commercial applications; industrial applications; and agricultural uses. In the residential and commercial markets, propane is used primarily for space heating, water heating, clothes drying and cooking. Industrial customers use propane generally as a motor fuel to power over-the-road vehicles, forklifts and stationary engines, to fire furnaces, as a cutting gas and in other process applications. In the agricultural market, propane is primarily used for tobacco curing, crop drying, poultry breeding and weed control.</w:t>
      </w:r>
    </w:p>
    <w:p>
      <w:pPr>
        <w:spacing w:after="0" w:line="75" w:lineRule="exact"/>
        <w:rPr>
          <w:sz w:val="20"/>
          <w:szCs w:val="20"/>
          <w:color w:val="auto"/>
        </w:rPr>
      </w:pPr>
    </w:p>
    <w:p>
      <w:pPr>
        <w:jc w:val="both"/>
        <w:ind w:right="80" w:firstLine="589"/>
        <w:spacing w:after="0" w:line="261" w:lineRule="auto"/>
        <w:rPr>
          <w:sz w:val="20"/>
          <w:szCs w:val="20"/>
          <w:color w:val="auto"/>
        </w:rPr>
      </w:pPr>
      <w:r>
        <w:rPr>
          <w:rFonts w:ascii="Times New Roman" w:cs="Times New Roman" w:eastAsia="Times New Roman" w:hAnsi="Times New Roman"/>
          <w:sz w:val="18"/>
          <w:szCs w:val="18"/>
          <w:color w:val="auto"/>
        </w:rPr>
        <w:t>The retail propane distribution industry is highly competitive and is generally serviced by large multi-state full-service distributors and small local independent distributors. Like the home heating oil industry, each retail propane distribution provider operates in its own competitive environment because propane distributors typically reside in close proximity to their customers. In most retail propane distribution markets, customers can choose from multiple distributors based on the quality of customer service, safety, reputation and price.</w:t>
      </w:r>
    </w:p>
    <w:p>
      <w:pPr>
        <w:spacing w:after="0" w:line="72" w:lineRule="exact"/>
        <w:rPr>
          <w:sz w:val="20"/>
          <w:szCs w:val="20"/>
          <w:color w:val="auto"/>
        </w:rPr>
      </w:pPr>
    </w:p>
    <w:p>
      <w:pPr>
        <w:jc w:val="both"/>
        <w:ind w:right="180" w:firstLine="589"/>
        <w:spacing w:after="0" w:line="258" w:lineRule="auto"/>
        <w:rPr>
          <w:sz w:val="20"/>
          <w:szCs w:val="20"/>
          <w:color w:val="auto"/>
        </w:rPr>
      </w:pPr>
      <w:r>
        <w:rPr>
          <w:rFonts w:ascii="Times New Roman" w:cs="Times New Roman" w:eastAsia="Times New Roman" w:hAnsi="Times New Roman"/>
          <w:sz w:val="18"/>
          <w:szCs w:val="18"/>
          <w:color w:val="auto"/>
        </w:rPr>
        <w:t>It is common practice in our business to price our liquid products to customers based on a per gallon margin over wholesale costs. As a result, we believe distributors such as ourselves generally seek to maintain their per gallon margins by passing wholesale price increases through to customers, thus insulating their margins from the volatility in wholesale prices. However, distributors may be unable or unwilling to pass the entire product cost increases through to customers. In these cases, significant decreases in per gallon margins may result. The timing of cost pass-throughs can also significantly affect margins. (See Customers and Pricing for a discussion on our offerings).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Our business strategy is to increase Adjusted EBITDA (See Item 6. Selected Historical Financial and Operating Data for a definition and history) and cash flow by effectively managing operations while growing and retaining our customer base as a retail distributor of home heating oil and propane and provider of related products and services. The key elements of this strategy include the following: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ind w:right="100" w:firstLine="58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select acquisitions </w:t>
      </w:r>
      <w:r>
        <w:rPr>
          <w:rFonts w:ascii="Times New Roman" w:cs="Times New Roman" w:eastAsia="Times New Roman" w:hAnsi="Times New Roman"/>
          <w:sz w:val="18"/>
          <w:szCs w:val="18"/>
          <w:color w:val="auto"/>
        </w:rPr>
        <w:t>Our senior management team has developed expertise in identifying acquisition opportunities and integrating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into our operations. We focus on acquiring profitable companies within and outside our current footprint.</w:t>
      </w:r>
    </w:p>
    <w:p>
      <w:pPr>
        <w:spacing w:after="0" w:line="51" w:lineRule="exact"/>
        <w:rPr>
          <w:sz w:val="20"/>
          <w:szCs w:val="20"/>
          <w:color w:val="auto"/>
        </w:rPr>
      </w:pPr>
    </w:p>
    <w:p>
      <w:pPr>
        <w:ind w:right="360" w:firstLine="589"/>
        <w:spacing w:after="0" w:line="282" w:lineRule="auto"/>
        <w:rPr>
          <w:sz w:val="20"/>
          <w:szCs w:val="20"/>
          <w:color w:val="auto"/>
        </w:rPr>
      </w:pPr>
      <w:r>
        <w:rPr>
          <w:rFonts w:ascii="Times New Roman" w:cs="Times New Roman" w:eastAsia="Times New Roman" w:hAnsi="Times New Roman"/>
          <w:sz w:val="18"/>
          <w:szCs w:val="18"/>
          <w:color w:val="auto"/>
        </w:rPr>
        <w:t>We actively pursue home heating oil only companies, propane companies, dual fuel (home heating oil and propane) companies and selectively target motor fuels acquisitions, especially where they are operating in the markets we currently serve.</w:t>
      </w:r>
    </w:p>
    <w:p>
      <w:pPr>
        <w:spacing w:after="0" w:line="50" w:lineRule="exact"/>
        <w:rPr>
          <w:sz w:val="20"/>
          <w:szCs w:val="20"/>
          <w:color w:val="auto"/>
        </w:rPr>
      </w:pPr>
    </w:p>
    <w:p>
      <w:pPr>
        <w:jc w:val="both"/>
        <w:ind w:right="640" w:firstLine="58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superior customer service </w:t>
      </w:r>
      <w:r>
        <w:rPr>
          <w:rFonts w:ascii="Times New Roman" w:cs="Times New Roman" w:eastAsia="Times New Roman" w:hAnsi="Times New Roman"/>
          <w:sz w:val="18"/>
          <w:szCs w:val="18"/>
          <w:color w:val="auto"/>
        </w:rPr>
        <w:t>We are dedicated to consistently providing our customers with superior service and a positive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to improve retention and drive additional revenue. We have established programs and conduct surveys to effectively measure customer satisfaction at certain brands.</w:t>
      </w:r>
    </w:p>
    <w:p>
      <w:pPr>
        <w:spacing w:after="0" w:line="67"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We have deployed a customer relationship management solution at most of our larger brands. This allows us to provide a more consistent customer experience as our employees will have a 360 degree-view of each customer with easy access to key customer information and customized dashboards to track individual employee performance.</w:t>
      </w:r>
    </w:p>
    <w:p>
      <w:pPr>
        <w:spacing w:after="0" w:line="68"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We have resources dedicated to training employees to provide superior and consistent service and enhance the customer experience. This effort is supported, reinforced and monitored by our local management teams.</w:t>
      </w:r>
    </w:p>
    <w:p>
      <w:pPr>
        <w:spacing w:after="0" w:line="50" w:lineRule="exact"/>
        <w:rPr>
          <w:sz w:val="20"/>
          <w:szCs w:val="20"/>
          <w:color w:val="auto"/>
        </w:rPr>
      </w:pPr>
    </w:p>
    <w:p>
      <w:pPr>
        <w:ind w:right="480" w:firstLine="58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Provide complementary service offerings </w:t>
      </w:r>
      <w:r>
        <w:rPr>
          <w:rFonts w:ascii="Times New Roman" w:cs="Times New Roman" w:eastAsia="Times New Roman" w:hAnsi="Times New Roman"/>
          <w:sz w:val="18"/>
          <w:szCs w:val="18"/>
          <w:color w:val="auto"/>
        </w:rPr>
        <w:t>These offerings include, but are not limited to, the sales, service and installation of heating and 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conditioning equipment, and standby home generators. In addition, we also repair and install natural gas heating systems.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Our fiscal year ends on September 30. All references to quarters and years respectively in this document are to fiscal quarters and years unless otherwise noted. The seasonal nature of our business results in the sale of approximately 30% of our volume of home heating oil and propane in the first fiscal quarter and 50% of our volume in the second fiscal quarter of each fiscal year, the peak heating season. Approximately 25% of our volume of motor fuel and other petroleum products is sold in each of the four fiscal quarters. We generally realize net income in our first and second fiscal quarters and net losses during our third and fourth fiscal quarters and we expect that the negative impact of seasonality on our third and fourth fiscal quarter operating results will continue. In addition, sales volume typically fluctuates from year to year in response to variations in weather, wholesale energy prices and other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Degree Day</w:t>
      </w:r>
    </w:p>
    <w:p>
      <w:pPr>
        <w:spacing w:after="0" w:line="121"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multi-year average to see if a month or a year was warmer or cooler than usual. Degree days are officially observed by the National Weather Service.</w:t>
      </w:r>
    </w:p>
    <w:p>
      <w:pPr>
        <w:spacing w:after="0" w:line="75"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Every ten years, the National Oceanic and Atmospheric Administration (“NOAA”) computes and publishes average meteorological quantities, including the average temperature for the last 30 years by geographical location, and the corresponding degree days. The latest and most widely used data covers the years from 1981 to 2010. Our calculations of normal weather are based on these published 30 year averages for heating degree days, weighted by volume for the locations where we have existing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Most of our operating locations compete with numerous distributors, primarily on the basis of price, reliability of service and response to customer needs. Each such location operates in its own competitive environment.</w:t>
      </w:r>
    </w:p>
    <w:p>
      <w:pPr>
        <w:spacing w:after="0" w:line="54" w:lineRule="exact"/>
        <w:rPr>
          <w:sz w:val="20"/>
          <w:szCs w:val="20"/>
          <w:color w:val="auto"/>
        </w:rPr>
      </w:pPr>
    </w:p>
    <w:p>
      <w:pPr>
        <w:ind w:right="60" w:firstLine="589"/>
        <w:spacing w:after="0" w:line="289" w:lineRule="auto"/>
        <w:rPr>
          <w:sz w:val="20"/>
          <w:szCs w:val="20"/>
          <w:color w:val="auto"/>
        </w:rPr>
      </w:pPr>
      <w:r>
        <w:rPr>
          <w:rFonts w:ascii="Times New Roman" w:cs="Times New Roman" w:eastAsia="Times New Roman" w:hAnsi="Times New Roman"/>
          <w:sz w:val="17"/>
          <w:szCs w:val="17"/>
          <w:color w:val="auto"/>
        </w:rPr>
        <w:t>We compete with distributors offering a broad range of services and prices, from full-service distributors, such as ourselves, to those offering delivery only. As do many companies in our business, we provide home heating and propane equipment repair service on a 24-hour-a-day, seven-day-a-week, 52 weeks a year basis. We believe that this level of service tends to help build customer loyalty. In some instances homeowners have formed buying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 w:name="page8"/>
    <w:bookmarkEnd w:id="7"/>
    <w:p>
      <w:pPr>
        <w:ind w:right="280"/>
        <w:spacing w:after="0" w:line="282" w:lineRule="auto"/>
        <w:rPr>
          <w:sz w:val="20"/>
          <w:szCs w:val="20"/>
          <w:color w:val="auto"/>
        </w:rPr>
      </w:pPr>
      <w:r>
        <w:rPr>
          <w:rFonts w:ascii="Times New Roman" w:cs="Times New Roman" w:eastAsia="Times New Roman" w:hAnsi="Times New Roman"/>
          <w:sz w:val="18"/>
          <w:szCs w:val="18"/>
          <w:color w:val="auto"/>
        </w:rPr>
        <w:t>cooperatives that seek a lower price than individual customers are otherwise able to obtain. Our business competes for retail customers with suppliers of alternative energy products, principally natural gas, propane (in the case of our home heating oil operations) and electricity.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firstLine="589"/>
        <w:spacing w:after="0" w:line="274" w:lineRule="auto"/>
        <w:rPr>
          <w:sz w:val="20"/>
          <w:szCs w:val="20"/>
          <w:color w:val="auto"/>
        </w:rPr>
      </w:pPr>
      <w:r>
        <w:rPr>
          <w:rFonts w:ascii="Times New Roman" w:cs="Times New Roman" w:eastAsia="Times New Roman" w:hAnsi="Times New Roman"/>
          <w:sz w:val="17"/>
          <w:szCs w:val="17"/>
          <w:color w:val="auto"/>
        </w:rPr>
        <w:t>We measure net customer attrition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at newly acquired businesses are included in these calculations. Customer attrition percentage calculations include customers added through acquisitions in the denominators of the calculations on a weighted average basis. Gross customer losses are the result of a number of factors, including price competition, move outs, credit losses and conversions to natural gas. (See Item 7. Management’s Discussion and Analysis of Financial Condition and Results of Operations – Customer Attrition.)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Pricing</w:t>
      </w:r>
    </w:p>
    <w:p>
      <w:pPr>
        <w:spacing w:after="0" w:line="121" w:lineRule="exact"/>
        <w:rPr>
          <w:sz w:val="20"/>
          <w:szCs w:val="20"/>
          <w:color w:val="auto"/>
        </w:rPr>
      </w:pPr>
    </w:p>
    <w:p>
      <w:pPr>
        <w:jc w:val="both"/>
        <w:ind w:right="120" w:firstLine="589"/>
        <w:spacing w:after="0" w:line="266" w:lineRule="auto"/>
        <w:rPr>
          <w:sz w:val="20"/>
          <w:szCs w:val="20"/>
          <w:color w:val="auto"/>
        </w:rPr>
      </w:pPr>
      <w:r>
        <w:rPr>
          <w:rFonts w:ascii="Times New Roman" w:cs="Times New Roman" w:eastAsia="Times New Roman" w:hAnsi="Times New Roman"/>
          <w:sz w:val="18"/>
          <w:szCs w:val="18"/>
          <w:color w:val="auto"/>
        </w:rPr>
        <w:t>The number of home heating oil customers comprise 81.0% of our product customer base, with propane customers comprising another 14.0% and motor fuel and other petroleum product customers making up the remaining 5.0%. (During fiscal 2020 we sold 313.6 million gallons of home heating oil and propane and 151.8 million gallons of motor fuel and other petroleum products.)</w:t>
      </w:r>
    </w:p>
    <w:p>
      <w:pPr>
        <w:spacing w:after="0" w:line="68"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Our full service home heating oil customer base is comprised of 97% residential customers and 3% commercial customers. Approximately 95% of our full service residential and commercial home heating oil customers have their deliveries scheduled automatically and 5% of our home heating oil customer base call from time to time to schedule a delivery. Automatic deliveries are scheduled based on each customer’s historical consumption pattern and prevailing weather conditions. Our practice is to bill customers promptly after delivery. We offer a balanced payment plan to residential customers in which a customer’s estimated annual oil purchases and service contract fees are paid for in a series of equal monthly payments. Approximately 34% of our residential home heating oil customers have selected this billing option.</w:t>
      </w:r>
    </w:p>
    <w:p>
      <w:pPr>
        <w:spacing w:after="0" w:line="79"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We offer several pricing alternatives to our residential home heating oil customers. Our variable pricing program allows the price to float with the heating oil market and other factors. In addition, we offer price-protected programs, which establish either a ceiling or a fixed price per gallon that the customer pays over a defined period. The following chart depicts the percentage of the pricing plans selected by our residential home heating oil customers as of the end of the fiscal year.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Variable</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55.2%</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Ceiling</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589"/>
        <w:spacing w:after="0" w:line="266" w:lineRule="auto"/>
        <w:rPr>
          <w:sz w:val="20"/>
          <w:szCs w:val="20"/>
          <w:color w:val="auto"/>
        </w:rPr>
      </w:pPr>
      <w:r>
        <w:rPr>
          <w:rFonts w:ascii="Times New Roman" w:cs="Times New Roman" w:eastAsia="Times New Roman" w:hAnsi="Times New Roman"/>
          <w:sz w:val="18"/>
          <w:szCs w:val="18"/>
          <w:color w:val="auto"/>
        </w:rPr>
        <w:t>Sales to residential customers ordinarily generate higher per gallon margins than sales to commercial customers. Due to greater price sensitivity, our own internal marketing efforts, and hedging costs of residential price-protected customers, the per gallon margins realized from price-protected customers generally are less than from variable priced residential customers.</w:t>
      </w:r>
    </w:p>
    <w:p>
      <w:pPr>
        <w:spacing w:after="0" w:line="68" w:lineRule="exact"/>
        <w:rPr>
          <w:sz w:val="20"/>
          <w:szCs w:val="20"/>
          <w:color w:val="auto"/>
        </w:rPr>
      </w:pPr>
    </w:p>
    <w:p>
      <w:pPr>
        <w:ind w:right="220" w:firstLine="589"/>
        <w:spacing w:after="0" w:line="282" w:lineRule="auto"/>
        <w:rPr>
          <w:sz w:val="20"/>
          <w:szCs w:val="20"/>
          <w:color w:val="auto"/>
        </w:rPr>
      </w:pPr>
      <w:r>
        <w:rPr>
          <w:rFonts w:ascii="Times New Roman" w:cs="Times New Roman" w:eastAsia="Times New Roman" w:hAnsi="Times New Roman"/>
          <w:sz w:val="18"/>
          <w:szCs w:val="18"/>
          <w:color w:val="auto"/>
        </w:rPr>
        <w:t>The propane customer base has a similar profile of heating oil residential and commercial customers. Pricing plans chosen by propane customers are almost exclusively variable in nature where selling prices will float with the propane market and other commercial factors.</w:t>
      </w:r>
    </w:p>
    <w:p>
      <w:pPr>
        <w:spacing w:after="0" w:line="54"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The motor fuel and other petroleum products customer group includes commercial and industrial customers of unbranded diesel, gasoline, kerosene and related distillate products. We sell products to these customers through contracts of various terms or through a competitive bidding process.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We use derivative instruments in order to mitigate our exposure to market risk associated with the purchase of home heating oil for our price-protected customers, physical inventory on hand, inventory in transit, priced purchase commitments, and the variable interest rate on a portion of our term loan. Currently, the Company’s derivative instruments are with the following counterparties: Bank of America, N.A., Bank of Montreal, Cargill, Inc., Citibank, N.A., JPMorgan Chase Bank, N.A., Key Bank, N.A., Toronto-Dominion Bank and Wells Fargo Bank, N.A.</w:t>
      </w:r>
    </w:p>
    <w:p>
      <w:pPr>
        <w:spacing w:after="0" w:line="72" w:lineRule="exact"/>
        <w:rPr>
          <w:sz w:val="20"/>
          <w:szCs w:val="20"/>
          <w:color w:val="auto"/>
        </w:rPr>
      </w:pPr>
    </w:p>
    <w:p>
      <w:pPr>
        <w:ind w:right="80" w:firstLine="589"/>
        <w:spacing w:after="0" w:line="253" w:lineRule="auto"/>
        <w:rPr>
          <w:sz w:val="20"/>
          <w:szCs w:val="20"/>
          <w:color w:val="auto"/>
        </w:rPr>
      </w:pPr>
      <w:r>
        <w:rPr>
          <w:rFonts w:ascii="Times New Roman" w:cs="Times New Roman" w:eastAsia="Times New Roman" w:hAnsi="Times New Roman"/>
          <w:sz w:val="18"/>
          <w:szCs w:val="18"/>
          <w:color w:val="auto"/>
        </w:rPr>
        <w:t>The Financial Accounting Standards Board (“FASB”) Accounting Standards Codification (“ASC”) 815-10-05, Derivatives and Hedging, requires that derivative instruments be recorded at fair value and included in the consolidated balance sheet as assets or liabilities. To the extent our interest rate derivative instruments designated as cash flow hedges are effective, as defined under this guidance, changes in fair value are recognized in other comprehensive income (loss) until the hedged item is recognized in earnings. We have elected not to designate our commodity derivative instruments as hedging instruments under this guidance, and as a result, the changes in fair value of the derivative instruments during the holding period are recognized in our statement of operations. Therefore, we experience volatility in earnings as outstanding derivative instruments are marked to 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 Depending on the risk being hedged, realized gains and losses are recorded in cost of product, cost of installations and services, or delivery and branch expenses.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Supply Arrangements</w:t>
      </w:r>
    </w:p>
    <w:p>
      <w:pPr>
        <w:spacing w:after="0" w:line="121"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We purchase our product for delivery in either barge, pipeline or truckload quantities, and as of September 30, 2020, had contracts with approximately 125 third-party terminal sites for the right to temporarily store petroleum products at their facilities. Home heating oil and propane purchases are made under supply contracts or on the spot market. We have entered into market price based contracts for approximately 81% of our expected home heating oil and propane requirements for the fiscal 2021 heating season. We also have market price based contracts for approximately 29% of our expected diesel and gasoline requirements for fiscal 2021.</w:t>
      </w:r>
    </w:p>
    <w:p>
      <w:pPr>
        <w:spacing w:after="0" w:line="75" w:lineRule="exact"/>
        <w:rPr>
          <w:sz w:val="20"/>
          <w:szCs w:val="20"/>
          <w:color w:val="auto"/>
        </w:rPr>
      </w:pPr>
    </w:p>
    <w:p>
      <w:pPr>
        <w:ind w:right="140" w:firstLine="589"/>
        <w:spacing w:after="0" w:line="256" w:lineRule="auto"/>
        <w:rPr>
          <w:sz w:val="20"/>
          <w:szCs w:val="20"/>
          <w:color w:val="auto"/>
        </w:rPr>
      </w:pPr>
      <w:r>
        <w:rPr>
          <w:rFonts w:ascii="Times New Roman" w:cs="Times New Roman" w:eastAsia="Times New Roman" w:hAnsi="Times New Roman"/>
          <w:sz w:val="18"/>
          <w:szCs w:val="18"/>
          <w:color w:val="auto"/>
        </w:rPr>
        <w:t>During fiscal 2020, Shell Oil Company, Motiva Enterprises LLC and Global Companies LLC provided approximately 13%, 12% and 11% respectively, of our petroleum product purchases. No single supplier provided more than 10% of our product supply during fiscal 2019. Supply contracts typically have terms of 6 to 12 months. All of the supply contracts provide for minimum quantities and in most cases do not establish in advance the price of home heating oil or propane. This price is based upon a published market index price at the time of delivery or pricing date plus an agreed upon differential. We believe that our policy of contracting for the majority of our anticipated supply needs with diverse and reliable sources will enable us to obtain sufficient product should unforeseen shortages develop in worldwide supplies.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right="140" w:firstLine="589"/>
        <w:spacing w:after="0" w:line="256" w:lineRule="auto"/>
        <w:rPr>
          <w:sz w:val="20"/>
          <w:szCs w:val="20"/>
          <w:color w:val="auto"/>
        </w:rPr>
      </w:pPr>
      <w:r>
        <w:rPr>
          <w:rFonts w:ascii="Times New Roman" w:cs="Times New Roman" w:eastAsia="Times New Roman" w:hAnsi="Times New Roman"/>
          <w:sz w:val="18"/>
          <w:szCs w:val="18"/>
          <w:color w:val="auto"/>
        </w:rPr>
        <w:t>Volatility, which is reflected in the wholesale price of liquid products, including home heating oil, propane and motor fuels, has a larger impact on our business when prices rise. Home heating oil consumers are price sensitive to heating cost increases, and this often leads to increased gross customer losses. As a commodity, the price of home heating oil is generally impacted by many factors, including economic and geopolitical forces. The price of home heating oil is closely linked to the price of diesel fuel. The volatility in the wholesale cost of diesel fuel as measured by the New York Mercantile Exchange (“NYMEX”), for the fiscal years ending September 30, 2016, through 2020, on a quarterly basis, is illustrated in the following chart (price per gallon):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1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Fiscal 2020 (a)</w:t>
            </w:r>
          </w:p>
        </w:tc>
        <w:tc>
          <w:tcPr>
            <w:tcW w:w="22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0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200" w:type="dxa"/>
            <w:vAlign w:val="bottom"/>
          </w:tcPr>
          <w:p>
            <w:pPr>
              <w:spacing w:after="0"/>
              <w:rPr>
                <w:sz w:val="15"/>
                <w:szCs w:val="15"/>
                <w:color w:val="auto"/>
              </w:rPr>
            </w:pPr>
          </w:p>
        </w:tc>
        <w:tc>
          <w:tcPr>
            <w:tcW w:w="122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200" w:type="dxa"/>
            <w:vAlign w:val="bottom"/>
          </w:tcPr>
          <w:p>
            <w:pPr>
              <w:spacing w:after="0"/>
              <w:rPr>
                <w:sz w:val="15"/>
                <w:szCs w:val="15"/>
                <w:color w:val="auto"/>
              </w:rPr>
            </w:pPr>
          </w:p>
        </w:tc>
        <w:tc>
          <w:tcPr>
            <w:tcW w:w="12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$ 1.86</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$ 2.05</w:t>
            </w:r>
          </w:p>
        </w:tc>
        <w:tc>
          <w:tcPr>
            <w:tcW w:w="2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$ 1.66</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$ 2.44</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$ 1.74</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$ 2.08</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$ 1.39</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$ 1.70</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$ 1.08</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right="20" w:hanging="432"/>
        <w:spacing w:after="0" w:line="282"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2020, the NYMEX ultra low sulfur diesel contract closed at $1.37 per gallon or $0.02 per gallon lower than the average of $1.39 in Fiscal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Part of our business strategy is to pursue select acquisitions.</w:t>
      </w:r>
    </w:p>
    <w:p>
      <w:pPr>
        <w:spacing w:after="0" w:line="117"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During fiscal 2020, the Company acquired two heating oil dealers for approximately $3.3 million; $3.0 million in cash and $0.3 million of deferred liabilities. The gross purchase price was allocated $3.2 million to intangible assets, $0.6 million to fixed assets and $0.5 million to working capital. Each acquired company’s operating results are included in the Company’s consolidated financial statements starting on its acquisition date. Customer lists, other intangibles (excluding goodwill) and trade names are amortized on a straight-line basis over seven to twenty years. The Company also completed the purchase of assets related to our fiscal 2019 acquisition of a heating oil dealer for an aggregate purchase price of approximately $1.2 million.</w:t>
      </w:r>
    </w:p>
    <w:p>
      <w:pPr>
        <w:spacing w:after="0" w:line="75"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During fiscal 2019, the Company acquired one of its subcontractors, a liquid product dealer and the assets of a propane dealer with a combined total of approximately 24,000 home heating oil and propane accounts for an aggregate purchase price of approximately $60.9 million in cash. The gross purchase price was allocated $44.7 million to intangible assets, $13.7 million to fixed assets and $2.5 million to working capital. Each acquired company’s operating results are included in the Company’s consolidated financial statements starting on its acquisition date. Customer lists, other intangibles and trade names are amortized on a straight-line basis over seven to twenty years.</w:t>
      </w:r>
    </w:p>
    <w:p>
      <w:pPr>
        <w:spacing w:after="0" w:line="75"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During fiscal 2018, the Company acquired five home heating oil dealers and a motor fuel dealer with a total of 16,950 home heating oil and propane accounts for an aggregate purchase price of approximately $25.2 million; comprised of $23.7 million in cash and $1.5 million of deferred liabilities. The gross purchase price was allocated $15.3 million to intangible assets, $7.5 million to fixed assets and $2.4 million to working capital. Each acquired company’s operating results are included in the Company’s consolidated financial statements starting on its acquisition date. Customer lists, other intangibles and trade names are amortized on a straight-line basis over seven to twenty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21"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We consider our employees a key factor to Star’s success and we are focused on attracting and retaining the best employees at all levels of our business. In particular, our dedication to providing superior customer service depends significantly on employee satisfaction and retention. We strive to create a productive and collaborative work environment for our employees. Our human capital measures and objectives focus on safety of our employees, employee benefits, and employee development and training.</w:t>
      </w:r>
    </w:p>
    <w:p>
      <w:pPr>
        <w:spacing w:after="0" w:line="72" w:lineRule="exact"/>
        <w:rPr>
          <w:sz w:val="20"/>
          <w:szCs w:val="20"/>
          <w:color w:val="auto"/>
        </w:rPr>
      </w:pPr>
    </w:p>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The safety of our employees and customers is paramount. We strive to ensure that all employees feel safe in their respective work environment. Since March 2020, a majority of our office personnel are working remotely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 w:name="page11"/>
    <w:bookmarkEnd w:id="10"/>
    <w:p>
      <w:pPr>
        <w:ind w:right="60"/>
        <w:spacing w:after="0" w:line="261" w:lineRule="auto"/>
        <w:rPr>
          <w:sz w:val="20"/>
          <w:szCs w:val="20"/>
          <w:color w:val="auto"/>
        </w:rPr>
      </w:pPr>
      <w:r>
        <w:rPr>
          <w:rFonts w:ascii="Times New Roman" w:cs="Times New Roman" w:eastAsia="Times New Roman" w:hAnsi="Times New Roman"/>
          <w:sz w:val="18"/>
          <w:szCs w:val="18"/>
          <w:color w:val="auto"/>
        </w:rPr>
        <w:t>in certain markets heavily impacted by the COVID-19 pandemic, we ceased making non-emergency service calls that would have been performed in the third quarter under normal circumstances. As peak heating season begins, we have begun to very cautiously return customer service, credit, service dispatch, and inside sales employees back into our facilities with our team’s health and well-being in mind. Our employees have adapted well and continue to be flexible to the changing working conditions</w:t>
      </w:r>
    </w:p>
    <w:p>
      <w:pPr>
        <w:spacing w:after="0" w:line="72" w:lineRule="exact"/>
        <w:rPr>
          <w:sz w:val="20"/>
          <w:szCs w:val="20"/>
          <w:color w:val="auto"/>
        </w:rPr>
      </w:pPr>
    </w:p>
    <w:p>
      <w:pPr>
        <w:ind w:right="300" w:firstLine="589"/>
        <w:spacing w:after="0" w:line="266" w:lineRule="auto"/>
        <w:rPr>
          <w:sz w:val="20"/>
          <w:szCs w:val="20"/>
          <w:color w:val="auto"/>
        </w:rPr>
      </w:pPr>
      <w:r>
        <w:rPr>
          <w:rFonts w:ascii="Times New Roman" w:cs="Times New Roman" w:eastAsia="Times New Roman" w:hAnsi="Times New Roman"/>
          <w:sz w:val="18"/>
          <w:szCs w:val="18"/>
          <w:color w:val="auto"/>
        </w:rPr>
        <w:t>To attract talent and meet the needs of our employees, we offer benefits packages for full-time employees. We offer a health and welfare and retirement program to all eligible employees. We also provide our employees with resources for professional development including technical training, feedback and performance reviews from supervisors, and management training.</w:t>
      </w:r>
    </w:p>
    <w:p>
      <w:pPr>
        <w:spacing w:after="0" w:line="68"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As of September 30, 2020, we had 3,157 employees, of whom 812 were office, clerical and customer service personnel; 891 were equipment technicians; 516 were fuel delivery drivers and mechanics; 606 were management and 332 were employed in sales. Of these employees 1,397 (44%) are represented by 59 different collective bargaining agreements with local chapters of labor unions. Due to the seasonal nature of our business and depending on the demands of the 2021 heating season, we anticipate that we will augment our current staffing levels during the heating season from among the 395 employees on temporary leave of absence as of September 30, 2020. There are 18 collective bargaining agreements up for renewal in fiscal 2021, covering approximately 253 employees (8%). We believe that our relations with both our union and non-union employees are generally satisfactory.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health and safety laws and regulations. Generally, these laws impose limitations on the discharge or emission of pollutants and establish standards for the handling of solid and hazardous wastes. These laws include the Resource Conservation and Recovery Act, the Comprehensive Environmental Response, Compensation and Liability Act (“CERCLA”), the Clean Air Act, the Occupational Safety and Health Act, the Emergency Planning and Community Right to Know Act, the Clean Water Act, the Oil Pollution Act, and comparable state statutes. CERCLA, also known as the “Superfund” law, imposes joint and several liabilities without regard to fault or the legality of the original conduct on certain classes of persons that are considered to have contributed to the release or threatened release of a hazardous substance into the environment. Products stored and/or delivered by us and certain automotive waste products generated by our fleet are hazardous substances within the meaning of CERCLA or otherwise subject to investigation and cleanup under other environmental laws and regulations. While we are currently not involved with any material CERCLA claims, and we have implemented programs and policies designed to address potential liabilities and costs under applicable environmental laws and regulations, failure to comply with such laws and regulations could result in civil or criminal penalties or injunctive relief in cases of non-compliance or impose liability for remediation costs.</w:t>
      </w:r>
    </w:p>
    <w:p>
      <w:pPr>
        <w:spacing w:after="0" w:line="84"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We have incurred and continue to incur costs to address soil and groundwater contamination at some of our locations, including legacy contamination at properties that we have acquired. A number of our properties are currently undergoing remediation, in some instances funded by prior owners or operators contractually obligated to do so. To date, no material issues have arisen with respect to such prior owners or operators addressing such remediation, although there is no assurance that this will continue to be the case. In addition, we have been subject to proceedings by regulatory authorities for alleged violations of environmental and safety laws and regulations. We do not expect any of these liabilities or proceedings of which we are aware to result in material costs to, or disruptions of, our business or operations.</w:t>
      </w:r>
    </w:p>
    <w:p>
      <w:pPr>
        <w:spacing w:after="0" w:line="79"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Transportation of our products by truck are subject to regulations promulgated under the Federal Motor Carrier Safety Act. These regulations cover the transportation of hazardous materials and are administered by the United States Department of Transportation or similar state agencies. Several of our oil terminals are governed under the United States Coast Guard operations Oversite, Federal OPA 90 FRP programs and Federal Spill Prevention Control and Countermeasure programs. All of our propane bulk terminals are governed under Homeland Security Chemical Facility Anti-Terrorism Standards programs. We conduct ongoing training programs to help ensure that our operations are in compliance with applicable regulations. We maintain various permits that are necessary to operate some of our facilities, some of which may be material to our operations.</w:t>
      </w:r>
    </w:p>
    <w:p>
      <w:pPr>
        <w:spacing w:after="0" w:line="79"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There is increasing attention in the United States and worldwide concerning the issue of climate change and the effect of emissions of greenhouse gases (“GHG”), in particular from the combustion of fossil fuels. Federal, regional and state regulatory authorities in many jurisdictions have begun taking steps to regulate GHG emissions.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40" w:firstLine="589"/>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risk factors discussed below, as well as all other information, as an investment in the Company involves a high degree of risk. We are subject to certain risks and hazards due to the nature of the business activities we conduct. The risks discussed below, any of which could materially and adversely affect our business, financial condition, cash flows, and results of operations, could result in a partial or total loss of your investment, and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COVID-19 Pandemic</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results of operations, financial condition and cash flows may be adversely affected by global public health pandemics, including COVID-19, an infectious disease caused by the novel coronavirus, and their related impact on the economy and financial markets.</w:t>
      </w:r>
    </w:p>
    <w:p>
      <w:pPr>
        <w:spacing w:after="0" w:line="51"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A global public health pandemic, including COVID-19, poses the risk that we or our employees, vendors, or customers may be prevented from conducting business activities for an indefinite period of time, including shutdowns that may be requested or mandated by governmental authorities, restrictions on travel to or from locations where we obtain product, provide services or where our customers are located. While as of the date hereof, we have been deemed an essential business by state and local governmental officials and are therefore permitted to continue operations during the COVID-19 pandemic. Our continued status as an essential business in all or certain of our markets could change by subsequent order and is beyond our control. If workers at one or more of our offices or the offices of our suppliers become ill or are quarantined and in either or both events are therefore unable to work, our operations could be subject to disruption due to staffing shortages.. The remote working arrangements we implemented for the majority of our office personnel in response to the pandemic may become strained or result in service delays, especially as these arrangements extend into the peak heating oil season. Further, certain of our customers’ financial condition have been may continue to be adversely impacted as a result of the impacts of COVID-19, or another global public health pandemic, and efforts taken to prevent its spread, which could result in reduced demand or impact their ability to pay for our products and services. In the third quarter of fiscal 2020, we believe that some of our customers deferred non-emergency services, including the installation of new equipment, causing a decline in equipment installation sales. However, in the fourth quarter of fiscal 2020, our installation sales rebounded. Also, in the third quarter of fiscal 2020, we experienced a decline in motor fuel sales volume due to a significant reduction in economic activity. This trend continued into the fourth quarter of fiscal 2020. If we continue to see declines in equipment and motor fuel sales, our financial results may suffer accordingly. We are also experiencing disruptions in the procurement of certain HVAC equipment and home generators.</w:t>
      </w:r>
    </w:p>
    <w:p>
      <w:pPr>
        <w:spacing w:after="0" w:line="88"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The COVID-19 pandemic has also caused, and is likely to continue to cause, severe economic, market and other disruptions worldwide. We cannot assure you that conditions in the bank lending, capital and other financial markets will not continue to deteriorate as a result of the pandemic, or that our access to capital and other sources of funding will not become constrained, which could adversely affect the availability and terms of future borrowings, renewals or refinancings. The extent to which the COVID-19 pandemic will impact our business remains uncertain, however, there could be a material adverse impact on our business, financial condition, results of operations, or cash flows.</w:t>
      </w:r>
    </w:p>
    <w:p>
      <w:pPr>
        <w:spacing w:after="0" w:line="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COVID-19’s impact on our business, operating results, cash flows (including the collection of current and future accounts receivable) and/or financial condition primarily will be driven by the severity and duration of the pandemic, the pandemic’s impact on the U.S. and global economies, the price of petroleum products, and the timing, scope and effectiveness of federal, state and local governmental responses to the pandemic. We continue to monitor the effects of the pandemic on our business; however, the primary drivers are beyond our knowledge and control and, as a result, at this time we cannot reasonably estimate the ultimate adverse impact COVID-19 will have on our business, operating results, cash flows and/or financial condition going forward.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Demand and Our Operations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results will be adversely affected if we continue to experience significant net customer attrition in our home heating oil and propane customer base.</w:t>
      </w:r>
    </w:p>
    <w:p>
      <w:pPr>
        <w:spacing w:after="0" w:line="51"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The following table depicts our gross customer gains, gross customer losses and net customer attrition from fiscal year 2016 to fiscal year 2020. Net customer attrition is the difference between gross customer losses and customers added through marketing efforts. Customers added through acquisitions are not included in the calculation of gross customer gains. However, additional customer gains that are obtained through marketing efforts and losses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customer gains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Gross customer losses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attrition</w:t>
            </w: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The gain of a new customer does not fully compensate for the loss of an existing customer because of the expenses incurred during the first year to add a new customer. Typically, the per gallon margin realized from a new account added is less than the margin of a customer that switches to another provider. Customer losses are the result of various factors, including but not limited to:</w:t>
      </w:r>
    </w:p>
    <w:p>
      <w:pPr>
        <w:spacing w:after="0" w:line="68" w:lineRule="exact"/>
        <w:rPr>
          <w:sz w:val="20"/>
          <w:szCs w:val="20"/>
          <w:color w:val="auto"/>
        </w:rPr>
      </w:pPr>
    </w:p>
    <w:p>
      <w:pPr>
        <w:ind w:left="1020" w:hanging="43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relocations and home sales/foreclosures;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worthiness;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disruptions;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to natural gas.</w:t>
      </w:r>
    </w:p>
    <w:p>
      <w:pPr>
        <w:spacing w:after="0" w:line="225"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The continuing volatility in the energy markets can intensify price competition and add to our difficulty in reducing net customer attrition. Warmer than normal weather can also contribute to an increase in attrition as customers perceive less need for a full service provider like ourselves. Additionally, the economic impact of COVID-19 could increase future attrition due to higher losses from credit related issues.</w:t>
      </w:r>
    </w:p>
    <w:p>
      <w:pPr>
        <w:spacing w:after="0" w:line="176"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If we are not able to reduce the current level of net customer attrition or if such level should increase, attrition will have a material adverse effect on our business, operating results and cash available for distributions to unitholders. For additional information about customer attrition, see Item 7 “Management’s Discussion and Analysis of Financial Condition and Results of Operations – Customer Attrition.”</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highly competitive nature of our business, we may not be able to retain existing customers or acquire new customers, which would have an adverse impact on our business, operating results and financial condition.</w:t>
      </w:r>
    </w:p>
    <w:p>
      <w:pPr>
        <w:spacing w:after="0" w:line="51" w:lineRule="exact"/>
        <w:rPr>
          <w:sz w:val="20"/>
          <w:szCs w:val="20"/>
          <w:color w:val="auto"/>
        </w:rPr>
      </w:pPr>
    </w:p>
    <w:p>
      <w:pPr>
        <w:ind w:right="240" w:firstLine="589"/>
        <w:spacing w:after="0" w:line="282" w:lineRule="auto"/>
        <w:rPr>
          <w:sz w:val="20"/>
          <w:szCs w:val="20"/>
          <w:color w:val="auto"/>
        </w:rPr>
      </w:pPr>
      <w:r>
        <w:rPr>
          <w:rFonts w:ascii="Times New Roman" w:cs="Times New Roman" w:eastAsia="Times New Roman" w:hAnsi="Times New Roman"/>
          <w:sz w:val="18"/>
          <w:szCs w:val="18"/>
          <w:color w:val="auto"/>
        </w:rPr>
        <w:t>Our business is subject to substantial competition. Most of our operating locations compete with numerous distributors, primarily on the basis of price, reliability of service and responsiveness to customer service needs. Each operating location operates in its own competitive environment.</w:t>
      </w:r>
    </w:p>
    <w:p>
      <w:pPr>
        <w:spacing w:after="0" w:line="162"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We compete with distributors offering a broad range of services and prices, from full-service distributors, such as ourselves, to those offering delivery only. As do many companies in our business, we provide home heating equipment repair service on a 24-hour-a-day, seven-day-a-week, 52 weeks a year basis. We believe that this tends to build customer loyalty. In some instances homeowners have formed buying cooperatives that seek to purchase home heating oil from distributors at a price lower than individual customers are otherwise able to obtain. We also compete for retail customers with suppliers of alternative energy products, principally natural gas, propane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right="120"/>
        <w:spacing w:after="0" w:line="282" w:lineRule="auto"/>
        <w:rPr>
          <w:sz w:val="20"/>
          <w:szCs w:val="20"/>
          <w:color w:val="auto"/>
        </w:rPr>
      </w:pPr>
      <w:r>
        <w:rPr>
          <w:rFonts w:ascii="Times New Roman" w:cs="Times New Roman" w:eastAsia="Times New Roman" w:hAnsi="Times New Roman"/>
          <w:sz w:val="18"/>
          <w:szCs w:val="18"/>
          <w:color w:val="auto"/>
        </w:rPr>
        <w:t>case of our home heating oil operations) and electricity. If we are unable to compete effectively, we may lose existing customers and/or fail to acquire new customers, which would have a material adverse effect on our business,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will be adversely affected if we experience significant net customer attrition from natural gas conversions.</w:t>
      </w:r>
    </w:p>
    <w:p>
      <w:pPr>
        <w:spacing w:after="0" w:line="229" w:lineRule="exact"/>
        <w:rPr>
          <w:sz w:val="20"/>
          <w:szCs w:val="20"/>
          <w:color w:val="auto"/>
        </w:rPr>
      </w:pPr>
    </w:p>
    <w:p>
      <w:pPr>
        <w:ind w:right="380" w:firstLine="589"/>
        <w:spacing w:after="0" w:line="282" w:lineRule="auto"/>
        <w:rPr>
          <w:sz w:val="20"/>
          <w:szCs w:val="20"/>
          <w:color w:val="auto"/>
        </w:rPr>
      </w:pPr>
      <w:r>
        <w:rPr>
          <w:rFonts w:ascii="Times New Roman" w:cs="Times New Roman" w:eastAsia="Times New Roman" w:hAnsi="Times New Roman"/>
          <w:sz w:val="18"/>
          <w:szCs w:val="18"/>
          <w:color w:val="auto"/>
        </w:rPr>
        <w:t>Based on data in the 2010 United States Census, from 2000 to 2010 it appears that heating oil customer conversions to natural gas in the states where we do business averaged from under 1% to over 3% per year.</w:t>
      </w:r>
    </w:p>
    <w:p>
      <w:pPr>
        <w:spacing w:after="0" w:line="162" w:lineRule="exact"/>
        <w:rPr>
          <w:sz w:val="20"/>
          <w:szCs w:val="20"/>
          <w:color w:val="auto"/>
        </w:rPr>
      </w:pPr>
    </w:p>
    <w:p>
      <w:pPr>
        <w:ind w:right="48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 depicts our estimated customer losses to natural gas conversions for the last five fiscal years. Losses to natural gas in our footprint for the home heating oil industry could be greater or less than our estimates.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6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losses to natural gas conversion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jc w:val="both"/>
        <w:ind w:right="420" w:firstLine="589"/>
        <w:spacing w:after="0" w:line="266" w:lineRule="auto"/>
        <w:rPr>
          <w:sz w:val="20"/>
          <w:szCs w:val="20"/>
          <w:color w:val="auto"/>
        </w:rPr>
      </w:pPr>
      <w:r>
        <w:rPr>
          <w:rFonts w:ascii="Times New Roman" w:cs="Times New Roman" w:eastAsia="Times New Roman" w:hAnsi="Times New Roman"/>
          <w:sz w:val="18"/>
          <w:szCs w:val="18"/>
          <w:color w:val="auto"/>
        </w:rPr>
        <w:t>In addition to our direct customer losses to natural gas competition, any conversion to natural gas by a heating oil consumer in our geographic footprint reduces the pool of available customers from which we can gain new heating oil customers, and could have a material adverse effect on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make acquisitions on economically acceptable terms, our future growth will be limited.</w:t>
      </w:r>
    </w:p>
    <w:p>
      <w:pPr>
        <w:spacing w:after="0" w:line="121"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Generally, heating oil and propane are alternative energy sources to new housing construction, because natural gas is usually selected when natural gas infrastructure exists. In certain geographies, utilities are building out their natural gas infrastructure. As such, our industry is not a growth industry. Accordingly, future growth will depend on our ability to make acquisitions on economically acceptable terms. We cannot assure that we will be able to identify attractive acquisition candidates in our sector in the future or that we will be able to acquire businesses on economically acceptable terms. Adverse operating and financial results may limit our access to capital and adversely affect our ability to make acquisitions. Under the terms of our fifth amended and restated credit agreement (“Credit Agreement”), we are restricted from making any individual acquisition in excess of $25.0 million without the lenders’ approval. In addition, to make an acquisition, we are required to have Availability (as defined in our Credit Agreement) of at least $40.0 million, on a historical pro forma and forward-looking basis. Furthermore, as long as the bank term loan is outstanding, we must be in compliance with the senior secured leverage ratio (as defined in our Credit Agreement). These covenant restrictions may limit our ability to make acquisitions. Any acquisition may involve potential risks to us and ultimately to our unitholders, including:</w:t>
      </w:r>
    </w:p>
    <w:p>
      <w:pPr>
        <w:spacing w:after="0" w:line="86" w:lineRule="exact"/>
        <w:rPr>
          <w:sz w:val="20"/>
          <w:szCs w:val="20"/>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indebtedness;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working capital requirements;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integrate the operations of the acquired business;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expand our operations into new territories;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excess of customer loss from the acquired business;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from the acquired business;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liabilities including environmental liabilities.</w:t>
      </w:r>
    </w:p>
    <w:p>
      <w:pPr>
        <w:spacing w:after="0" w:line="225"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In addition, acquisitions may be dilutive to earnings and distributions to unitholders, and any additional debt incurred to finance acquisitions may, among other things, affect our ability to make distributions to our unitholders.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Since weather conditions may adversely affect the demand for home heating oil and propane, our business, operating results and financial condition are vulnerable to warm winters.</w:t>
      </w:r>
    </w:p>
    <w:p>
      <w:pPr>
        <w:spacing w:after="0" w:line="51" w:lineRule="exact"/>
        <w:rPr>
          <w:sz w:val="20"/>
          <w:szCs w:val="20"/>
          <w:color w:val="auto"/>
        </w:rPr>
      </w:pPr>
    </w:p>
    <w:p>
      <w:pPr>
        <w:ind w:right="200" w:firstLine="589"/>
        <w:spacing w:after="0" w:line="256" w:lineRule="auto"/>
        <w:rPr>
          <w:sz w:val="20"/>
          <w:szCs w:val="20"/>
          <w:color w:val="auto"/>
        </w:rPr>
      </w:pPr>
      <w:r>
        <w:rPr>
          <w:rFonts w:ascii="Times New Roman" w:cs="Times New Roman" w:eastAsia="Times New Roman" w:hAnsi="Times New Roman"/>
          <w:sz w:val="18"/>
          <w:szCs w:val="18"/>
          <w:color w:val="auto"/>
        </w:rPr>
        <w:t>Weather conditions in regions in which we operate have a significant impact on the demand for home heating oil and propane because our customers depend on this product largely for space heating purposes. As a result, weather conditions may materially adversely impact our business, operating results and financial condition. During the peak-heating season of October through March, sales of home heating oil and propane historically have represented approximately 80% of our annual volume sold. Actual weather conditions can vary substantially from year to year or from month to month, significantly affecting our financial performance. Warmer than normal temperatures in one or more regions in which we operate can significantly decrease the total volume we sell and the gross profit realized and, consequently, our results of operations.</w:t>
      </w:r>
    </w:p>
    <w:p>
      <w:pPr>
        <w:spacing w:after="0" w:line="187"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To partially mitigate the adverse effect of warm weather on cash flows, we have used weather hedge contracts for a number of years. In general, such weather hedge contracts provide that we are entitled to receive a specific payment per heating degree-day shortfall, when the total number of heating degree-days in the hedge period is less than the ten year average. The “payment thresholds,” or strikes, are set at various levels. The hedge period runs from November 1, through March 31, of a fiscal year taken as a whole.</w:t>
      </w:r>
    </w:p>
    <w:p>
      <w:pPr>
        <w:spacing w:after="0" w:line="180"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For fiscal year 2021 and 2022 we have weather hedge contracts with two providers. For fiscal 2021, the maximum that the Company can receive is $12.5 million and the maximum the Company may be obligated to pay is $5.0 million. For fiscal 2022, the maximum that the Company can receive is $7.5 million and the Company does not have a potential obligation to pay. However, there can be no assurance that such weather hedge contracts would fully or substantially offset the adverse effects of warmer weather on our business and operating results during such period or that colder weather will result in enough profit to offset a payment by the Company to its provider.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are subject to seasonal fluctuations.</w:t>
      </w:r>
    </w:p>
    <w:p>
      <w:pPr>
        <w:spacing w:after="0" w:line="121" w:lineRule="exact"/>
        <w:rPr>
          <w:sz w:val="20"/>
          <w:szCs w:val="20"/>
          <w:color w:val="auto"/>
        </w:rPr>
      </w:pPr>
    </w:p>
    <w:p>
      <w:pPr>
        <w:ind w:right="80" w:firstLine="589"/>
        <w:spacing w:after="0" w:line="255" w:lineRule="auto"/>
        <w:rPr>
          <w:sz w:val="20"/>
          <w:szCs w:val="20"/>
          <w:color w:val="auto"/>
        </w:rPr>
      </w:pPr>
      <w:r>
        <w:rPr>
          <w:rFonts w:ascii="Times New Roman" w:cs="Times New Roman" w:eastAsia="Times New Roman" w:hAnsi="Times New Roman"/>
          <w:sz w:val="18"/>
          <w:szCs w:val="18"/>
          <w:color w:val="auto"/>
        </w:rPr>
        <w:t>Our operating results are subject to seasonal fluctuations since the demand for home heating oil and propane is greater during the first and second fiscal quarter of our fiscal year, which is the peak heating season. The seasonal nature of our business has resulted on average in the last five years in the sale of approximately 30% of our volume of home heating oil and propane in the first fiscal quarter and 50% of our volume in the second fiscal quarter of each fiscal year. As a result, we generally realize net income in our first and second fiscal quarters and net losses during our third and fourth fiscal quarters and we expect that the negative impact of seasonality on our third and fourth fiscal quarter operating results will continue. Thus any material reduction in the profitability of the first and second quarters for any reason, including warmer than normal weather, generally cannot be made up by any significant profitability improvements in the results of the third and fourth quarters.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Product Pricing and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product prices can lead to customer conservation and attrition, resulting in reduced demand for our products.</w:t>
      </w:r>
    </w:p>
    <w:p>
      <w:pPr>
        <w:spacing w:after="0" w:line="121" w:lineRule="exact"/>
        <w:rPr>
          <w:sz w:val="20"/>
          <w:szCs w:val="20"/>
          <w:color w:val="auto"/>
        </w:rPr>
      </w:pPr>
    </w:p>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Prices for our products are subject to volatile fluctuations in response to changes in supply and other market conditions. During periods of high product costs our prices generally increase. High prices can lead to customer conservation and attrition, resulting in reduced demand for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wholesale product costs may have adverse effects on our business, financial condition, results of operations, or liquidity.</w:t>
      </w:r>
    </w:p>
    <w:p>
      <w:pPr>
        <w:spacing w:after="0" w:line="121" w:lineRule="exact"/>
        <w:rPr>
          <w:sz w:val="20"/>
          <w:szCs w:val="20"/>
          <w:color w:val="auto"/>
        </w:rPr>
      </w:pPr>
    </w:p>
    <w:p>
      <w:pPr>
        <w:ind w:right="700" w:firstLine="589"/>
        <w:spacing w:after="0" w:line="282" w:lineRule="auto"/>
        <w:rPr>
          <w:sz w:val="20"/>
          <w:szCs w:val="20"/>
          <w:color w:val="auto"/>
        </w:rPr>
      </w:pPr>
      <w:r>
        <w:rPr>
          <w:rFonts w:ascii="Times New Roman" w:cs="Times New Roman" w:eastAsia="Times New Roman" w:hAnsi="Times New Roman"/>
          <w:sz w:val="18"/>
          <w:szCs w:val="18"/>
          <w:color w:val="auto"/>
        </w:rPr>
        <w:t>Increases in wholesale product costs may have adverse effects on our business, financial condition and results of operations, including the following:</w:t>
      </w:r>
    </w:p>
    <w:p>
      <w:pPr>
        <w:spacing w:after="0" w:line="54" w:lineRule="exact"/>
        <w:rPr>
          <w:sz w:val="20"/>
          <w:szCs w:val="20"/>
          <w:color w:val="auto"/>
        </w:rPr>
      </w:pPr>
    </w:p>
    <w:p>
      <w:pPr>
        <w:ind w:left="1020" w:hanging="43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conservation or attrition due to customers converting to lower cost heating products or suppliers;</w:t>
      </w:r>
    </w:p>
    <w:p>
      <w:pPr>
        <w:spacing w:after="0" w:line="117" w:lineRule="exact"/>
        <w:rPr>
          <w:rFonts w:ascii="Times New Roman" w:cs="Times New Roman" w:eastAsia="Times New Roman" w:hAnsi="Times New Roman"/>
          <w:sz w:val="18"/>
          <w:szCs w:val="18"/>
          <w:color w:val="auto"/>
        </w:rPr>
      </w:pPr>
    </w:p>
    <w:p>
      <w:pPr>
        <w:ind w:left="1020" w:right="580" w:hanging="432"/>
        <w:spacing w:after="0" w:line="312"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as a result of higher receivables, and/or inventory balances as we must fund a portion of any increase in receivables, inventory and hedging costs from our own resources, thereby tying up funds that would otherwise be available for other purposes;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 w:name="page16"/>
    <w:bookmarkEnd w:id="15"/>
    <w:p>
      <w:pPr>
        <w:ind w:left="1020" w:hanging="432"/>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bad debt expense and credit card processing costs as a result of higher selling prices;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as a result of increased working capital borrowing to finance higher receivables and/or inventory balances;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vehicle fuel costs.</w:t>
      </w:r>
    </w:p>
    <w:p>
      <w:pPr>
        <w:spacing w:after="0" w:line="225" w:lineRule="exact"/>
        <w:rPr>
          <w:sz w:val="20"/>
          <w:szCs w:val="20"/>
          <w:color w:val="auto"/>
        </w:rPr>
      </w:pPr>
    </w:p>
    <w:p>
      <w:pPr>
        <w:jc w:val="both"/>
        <w:ind w:right="100" w:firstLine="589"/>
        <w:spacing w:after="0" w:line="266" w:lineRule="auto"/>
        <w:rPr>
          <w:sz w:val="20"/>
          <w:szCs w:val="20"/>
          <w:color w:val="auto"/>
        </w:rPr>
      </w:pPr>
      <w:r>
        <w:rPr>
          <w:rFonts w:ascii="Times New Roman" w:cs="Times New Roman" w:eastAsia="Times New Roman" w:hAnsi="Times New Roman"/>
          <w:sz w:val="18"/>
          <w:szCs w:val="18"/>
          <w:color w:val="auto"/>
        </w:rPr>
        <w:t>If increases in wholesale product costs cause our working capital requirements to exceed the amounts available under our revolving credit facility or should we fail to maintain the required availability or fixed charge coverage ratio, we would not have sufficient working capital to operate our business, which could have a material adverse effect on our financial condition and results of operations.</w:t>
      </w:r>
    </w:p>
    <w:p>
      <w:pPr>
        <w:spacing w:after="0" w:line="68" w:lineRule="exact"/>
        <w:rPr>
          <w:sz w:val="20"/>
          <w:szCs w:val="20"/>
          <w:color w:val="auto"/>
        </w:rPr>
      </w:pPr>
    </w:p>
    <w:p>
      <w:pPr>
        <w:ind w:right="140" w:firstLine="589"/>
        <w:spacing w:after="0" w:line="255" w:lineRule="auto"/>
        <w:rPr>
          <w:sz w:val="20"/>
          <w:szCs w:val="20"/>
          <w:color w:val="auto"/>
        </w:rPr>
      </w:pPr>
      <w:r>
        <w:rPr>
          <w:rFonts w:ascii="Times New Roman" w:cs="Times New Roman" w:eastAsia="Times New Roman" w:hAnsi="Times New Roman"/>
          <w:sz w:val="18"/>
          <w:szCs w:val="18"/>
          <w:color w:val="auto"/>
        </w:rPr>
        <w:t>Our business requires a significant amount of working capital to finance inventory and accounts receivable generated during the heating season. Under our Credit Agreement, we may borrow up to $300 million, which increases to $450 million during the peak winter months from December through April of each fiscal year. We are obligated to meet certain financial covenants under our Credit Agreement, including the requirement to maintain at all times either excess availability (borrowing base less amounts borrowed and letters of credit issued) of 12.5% of the revolving credit commitment then in effect or a fixed charge coverage ratio (as defined in our Credit Agreement) of not less than 1.1. In addition, as long as our term loan is outstanding, our senior secured leverage ratio cannot be more than 3.0 as calculated as of the quarters ending June 30 or September 30, and no more than 4.5 as calculated as of the quarters ending December 31 or March 31.</w:t>
      </w:r>
    </w:p>
    <w:p>
      <w:pPr>
        <w:spacing w:after="0" w:line="189"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At December 31, 2020, we expect to have approximately 26 million gallons of priced purchase commitments and physical inventory hedged with a futures contract or swap. If the wholesale price of heating oil increased $1 per gallon, our near term liquidity in December would be reduced by $26 million.</w:t>
      </w:r>
    </w:p>
    <w:p>
      <w:pPr>
        <w:spacing w:after="0" w:line="176"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At September 30, 2020, we had approximately 118,900 customers, or 34% of our residential customer base, on the balanced payment plan in which a customer’s estimated annual oil purchases and service contract fees are paid for in a series of equal monthly payments. Increases in wholesale prices could reduce our liquidity if we failed to recalculate the balanced payments on a timely basis or if customers resist higher balanced payments. These customers could possibly owe us more in the future than we had budgeted. Generally, customer credit balances are at their low point after the end of the heating season and at their peak prior to the beginning of the heating season.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hedging strategy may adversely affect our liquidity.</w:t>
      </w:r>
    </w:p>
    <w:p>
      <w:pPr>
        <w:spacing w:after="0" w:line="121" w:lineRule="exact"/>
        <w:rPr>
          <w:sz w:val="20"/>
          <w:szCs w:val="20"/>
          <w:color w:val="auto"/>
        </w:rPr>
      </w:pPr>
    </w:p>
    <w:p>
      <w:pPr>
        <w:ind w:right="160" w:firstLine="589"/>
        <w:spacing w:after="0" w:line="258" w:lineRule="auto"/>
        <w:rPr>
          <w:sz w:val="20"/>
          <w:szCs w:val="20"/>
          <w:color w:val="auto"/>
        </w:rPr>
      </w:pPr>
      <w:r>
        <w:rPr>
          <w:rFonts w:ascii="Times New Roman" w:cs="Times New Roman" w:eastAsia="Times New Roman" w:hAnsi="Times New Roman"/>
          <w:sz w:val="18"/>
          <w:szCs w:val="18"/>
          <w:color w:val="auto"/>
        </w:rPr>
        <w:t>We purchase derivatives, futures and swaps from members of our lending group in order to mitigate exposure to market risk associated with our inventory and the purchase of home heating oil for price-protected customers. Future positions require an initial cash margin deposit and daily mark to market maintenance margin, whereas options are generally paid for as they expire. Mark-to-market exposure reduces our borrowing base and as such can reduce the amount available to us under our Credit Agreement. The highest mark to market reserve against our borrowing base for these derivative instruments with our lending group was $20.2 million, $22.7 million, and $0, during fiscal years 2020, 2019, and 2018 respectively.</w:t>
      </w:r>
    </w:p>
    <w:p>
      <w:pPr>
        <w:spacing w:after="0" w:line="183" w:lineRule="exact"/>
        <w:rPr>
          <w:sz w:val="20"/>
          <w:szCs w:val="20"/>
          <w:color w:val="auto"/>
        </w:rPr>
      </w:pPr>
    </w:p>
    <w:p>
      <w:pPr>
        <w:ind w:right="240" w:firstLine="589"/>
        <w:spacing w:after="0" w:line="261" w:lineRule="auto"/>
        <w:rPr>
          <w:sz w:val="20"/>
          <w:szCs w:val="20"/>
          <w:color w:val="auto"/>
        </w:rPr>
      </w:pPr>
      <w:r>
        <w:rPr>
          <w:rFonts w:ascii="Times New Roman" w:cs="Times New Roman" w:eastAsia="Times New Roman" w:hAnsi="Times New Roman"/>
          <w:sz w:val="18"/>
          <w:szCs w:val="18"/>
          <w:color w:val="auto"/>
        </w:rPr>
        <w:t>We also purchase call options from members of our lending group to hedge the price of the products to be sold to our price-protected customers which usually require us to pay an upfront cash payment. This reduces our liquidity, as we must pay for the option before any sales are made to the customer. We further purchase futures contracts with members of our lending group in order to mitigate exposure to market risk associated with physical inventory. Our futures contracts require an initial cash deposit and maintenance margin for changes in the market value of the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Sudden and sharp oil price increases that cannot be passed on to customers may adversely affect our operating results.</w:t>
      </w:r>
    </w:p>
    <w:p>
      <w:pPr>
        <w:spacing w:after="0" w:line="121"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Our industry is a “margin-based” business in which gross profit depends on the excess of sales prices per gallon over supply costs per gallon. Consequently, our profitability is sensitive to changes in the wholesale product cost caused by changes in supply or other market conditions. These factors are beyond our control and thus, when there are sudden and sharp increases in the wholesale cost of home heating oil, we may not be able to pass on these increases to customers through increased retail sales prices. In an effort to retain existing accounts and attract new customers we may offer discounts, which will impact the net per gallon gross margin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declines in the wholesale price of home heating oil may cause price-protected customers to renegotiate or terminate their arrangements which may adversely impact our gross profit and operating results.</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When the wholesale price of home heating oil declines significantly after a customer enters into a price protection arrangement, some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 to renegotiate their arrangement in order to enter into a lower cost pricing plan with us or terminate their arrangement and switch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competitor. Under our current price-protected programs, approximately 38.5% and 7.1% of our residential customers are respectively categorized as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ceiling or fixed as of September 30, 2020.</w:t>
      </w: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home heating oil volume is sold to price-protected customers (ceiling and fixed) and our gross margins could be adversely affected if we are not able to effectively hedge against fluctuations in the volume and cost of product sold to these customers.</w:t>
      </w:r>
    </w:p>
    <w:p>
      <w:pPr>
        <w:spacing w:after="0" w:line="51"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individual customers under an arrangement pre-establishing the ceiling sales price or a fixed price of home heating oil over a fixed period. When the customer makes a purchase commitment for the next period we currently purchase option contracts, swaps and futures contracts for a substantial majority of the heating oil that we expect to sell to these price-protected customers. The amount of home heating oil volume that we hedge per price-protected customer is based upon the estimated fuel consumption per average customer, per month. If the actual usage exceeds the amount of the hedged volume on a monthly basis, we could be required to obtain additional volume at unfavorable margins. In addition, should actual usage in any month be less than the hedged volume (including, for example, as a result of early terminations by fixed price customers), our hedging losses could be greater. Currently, we have elected not to designate our derivative instruments as hedging instruments under FASB ASC 815-10-05 Derivatives and Hedging, and the change in fair value of the derivative instruments is recognized in our statement of operations. Therefore, we experience volatility in earnings as these currently outstanding derivative contracts are marked to market and non-cash gains or losses are recorded in the statement of operations.</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risk management policies cannot eliminate all commodity risk, basis risk, or the impact of adverse market conditions which can adversely affect our financial condition, results of operations and cash available for distribution to our unitholders. In addition, any noncompliance with our risk management policies could result in significant financial losses.</w:t>
      </w:r>
    </w:p>
    <w:p>
      <w:pPr>
        <w:spacing w:after="0" w:line="67" w:lineRule="exact"/>
        <w:rPr>
          <w:sz w:val="20"/>
          <w:szCs w:val="20"/>
          <w:color w:val="auto"/>
        </w:rPr>
      </w:pPr>
    </w:p>
    <w:p>
      <w:pPr>
        <w:ind w:right="40" w:firstLine="589"/>
        <w:spacing w:after="0" w:line="253" w:lineRule="auto"/>
        <w:rPr>
          <w:sz w:val="20"/>
          <w:szCs w:val="20"/>
          <w:color w:val="auto"/>
        </w:rPr>
      </w:pPr>
      <w:r>
        <w:rPr>
          <w:rFonts w:ascii="Times New Roman" w:cs="Times New Roman" w:eastAsia="Times New Roman" w:hAnsi="Times New Roman"/>
          <w:sz w:val="18"/>
          <w:szCs w:val="18"/>
          <w:color w:val="auto"/>
        </w:rPr>
        <w:t>While our hedging policies are designed to minimize commodity risk, some degree of exposure to unforeseen fluctuations in market conditions remains. For example, we change our hedged position daily in response to movements in our inventory. Any difference between the estimated future sales from inventory and actual sales will create a mismatch between the amount of inventory and the hedges against that inventory, and thus change the commodity risk position that we are trying to maintain. Also, significant increases in the costs of the products we sell can materially increase our costs to carry inventory. We use our revolving credit facility as our primary source of financing to carry inventory and may be limited on the amounts we can borrow to carry inventory. Basis risk describes the inherent market price risk created when a commodity of certain grade or location is purchased, sold or exchanged as compared to a purchase, sale or exchange of a like commodity at a different time or place. Transportation costs and timing differentials are components of basis risk. For example, we use the NYMEX to hedge our commodity risk with respect to pricing of energy products traded on the NYMEX. Physical deliveries under NYMEX contracts are made in New York Harbor. To the extent we take deliveries in other ports, such as Boston Harbor, we may have basis risk. In a backward market (when prices for future deliveries are lower than current prices), basis risk is created with respect to timing. In these instances, physical inventory generally loses value as basis declines over time. Basis risk cannot be entirely eliminated, and basis exposure, particularly in backward or other adverse market conditions, can adversely affect our financial condition, results of operations and cash available for distribution to our unitholders.</w:t>
      </w:r>
    </w:p>
    <w:p>
      <w:pPr>
        <w:spacing w:after="0" w:line="187"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We monitor processes and procedures to reduce the risk of unauthorized trading and to maintain substantial balance between purchases and sales or future delivery obligations. We can provide no assurance, however, that these steps will detect and/or prevent all violations of such risk management policies and procedures, particularly if deception or other intentional misconduct is involved.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Our obligation to fund multi-employer pension plans to which we contribute may have an adverse impact on us.</w:t>
      </w:r>
    </w:p>
    <w:p>
      <w:pPr>
        <w:spacing w:after="0" w:line="121"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We participate in a number of multi-employer pension plans for current and former union employees covered under collective bargaining agreements. The risks of participating in multi-employer plans are different from single-employer plans in that assets contributed are pooled and may be used to provide benefits to current and former employees of other participating employers. Several factors could require us to make significantly higher future contributions to these plans, including the funding status of the plan, unfavorable investment performance, insolvency or withdrawal of participating employers, changes in demographics and increased benefits to participants. Several of these multi-employer plans to which we contribute are underfunded, meaning that the value of such plans’ assets are less than the actuarial value of the plans’ benefit obligations.</w:t>
      </w:r>
    </w:p>
    <w:p>
      <w:pPr>
        <w:spacing w:after="0" w:line="187"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We may be subject to additional liabilities imposed by law as a result of our participation in multi-employer defined benefit pension plans. Various Federal laws impose certain liabilities upon an employer who is a contributor to a multi-employer pension plan if the employer withdraws from the plan or the plan is terminated or experiences a mass withdrawal, potentially including an allocable share of the unfunded vested benefits in the plan for all plan participants, not just our retirees. Accordingly, we could be assessed our share of unfunded liabilities should we terminate participation in these plans, or should there be a mass withdrawal from these plans, or if the plans become insolvent or otherwise terminate.</w:t>
      </w:r>
    </w:p>
    <w:p>
      <w:pPr>
        <w:spacing w:after="0" w:line="183"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While we currently have no intention of permanently terminating our participation in or otherwise withdrawing from any underfunded multi-employer pension plan, there can be no assurance that we will not be required to record material withdrawal liabilities or be required to make material cash contributions in the future to one or more underfunded plans, whether as a result of withdrawing from a plan, or of agreeing to any alternate funding option, or due to any of the other risks associated with being a participating employer in an underfunded plan. Any of these events could negatively impact our liquidity and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the continued solvency of our derivatives, insurance and weather hedge counterparties.</w:t>
      </w:r>
    </w:p>
    <w:p>
      <w:pPr>
        <w:spacing w:after="0" w:line="12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If counterparties to the derivative instruments that we use to hedge the cost of home heating oil sold to price-protected customers, physical inventory and our vehicle fuel costs were to fail, our liquidity, operating results and financial condition could be materially adversely impacted, as we would be obligated to fulfill our operational requirement of purchasing, storing and selling home heating oil and vehicle fuel, while losing the mitigating benefits of economic hedges with a failed counterparty. If one of our insurance carriers were to fail, our liquidity, results of operations and financial condition could be materially adversely impacted, as we would have to fund any catastrophic loss. If our weather hedge counterparty were to fail, we would lose the protection of our weather hedge contract. Currently, we have outstanding derivative instruments with the following counterparties: Bank of America, N.A., Bank of Montreal, Cargill, Inc., Citibank, N.A., JPMorgan Chase Bank, N.A., Key Bank, N.A., Toronto-Dominion Bank and Wells Fargo Bank, N.A. Our primary insurance carriers are American International Group, Woodbury Insurance Co., Inc. (our captive insurance subsidiary), and a subsidiary of Sompo International which is our weather hedge counterparty.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Legal and Environmental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operating and litigation risks that could adversely affect our operating results whether or not covered by insurance.</w:t>
      </w:r>
    </w:p>
    <w:p>
      <w:pPr>
        <w:spacing w:after="0" w:line="121" w:lineRule="exact"/>
        <w:rPr>
          <w:sz w:val="20"/>
          <w:szCs w:val="20"/>
          <w:color w:val="auto"/>
        </w:rPr>
      </w:pPr>
    </w:p>
    <w:p>
      <w:pPr>
        <w:ind w:right="260" w:firstLine="589"/>
        <w:spacing w:after="0" w:line="256" w:lineRule="auto"/>
        <w:rPr>
          <w:sz w:val="20"/>
          <w:szCs w:val="20"/>
          <w:color w:val="auto"/>
        </w:rPr>
      </w:pPr>
      <w:r>
        <w:rPr>
          <w:rFonts w:ascii="Times New Roman" w:cs="Times New Roman" w:eastAsia="Times New Roman" w:hAnsi="Times New Roman"/>
          <w:sz w:val="18"/>
          <w:szCs w:val="18"/>
          <w:color w:val="auto"/>
        </w:rPr>
        <w:t>Our operations are subject to all operating hazards and risks normally incidental to handling, storing, transporting and otherwise providing customers with our products such as natural disasters, adverse weather, accidents, fires, explosions, hazardous material releases, mechanical failures and other events beyond our control. If any of these events were to occur, we could incur substantial losses because of personal injury or loss of life, severe damage to and destruction of property and equipment, and pollution or other environmental damage resulting in curtailment or suspension of our related operations. As a result, we may be a defendant in legal proceedings and litigation arising in the ordinary course of business. The Company records a liability when it is probable that a loss has been incurred and the amount is reasonably estimable.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As we self-insure workers’ compensation, automobile and general liability claims up to pre-established limits, we establish reserves based upon expectations as to what our ultimate liability will be for claims based on our historical factors. We evaluate on an annual basis the potential for changes in loss estimates with the support of qualified actuaries. As of September 30, 2020, we had approximately $74.4 million of net insurance reserves. Other than matters for which we self-insure, we maintain insurance policies with insurers in amounts and with coverage and deductibles that we believe are reasonable and prudent.</w:t>
      </w:r>
    </w:p>
    <w:p>
      <w:pPr>
        <w:spacing w:after="0" w:line="183"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However, there can be no assurance that the ultimate settlement of these claims will not differ materially from the assumptions used to calculate the reserves or that the insurance we maintain will be adequate to protect us from all material expenses related to potential future claims for remediation costs and personal and property damage or that these levels of insurance will be available in the future at economical prices, any of which could have a material effect on our results of operations. Further, certain types of claims may be excluded from our insurance coverage. If we were to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captive insurance company may not bring the benefits we expect.</w:t>
      </w:r>
    </w:p>
    <w:p>
      <w:pPr>
        <w:spacing w:after="0" w:line="121"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Beginning October 1, 2016, we have elected to insure through a wholly-owned captive insurance company, Woodbury Insurance Co., Inc., certain self-insured or deductible amounts. We also continue to maintain our normal, historical, insurance policies with third party insurers. In addition to certain business and operating benefits of having a captive insurance company, we expect to receive certain cash flow benefits related to the timing of the tax deduction related to these claims. Such expected cash tax timing benefits related to coverage provided by Woodbury Insurance Co., Inc. may not materialize, or any cash tax savings may not be as much as anticipated.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New York legislation has the potential to significantly negatively impact the Company’s New York operations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On July 18, 2019, the State of New York passed the Climate Leadership and Community Protection Act (“CLCPA”). Among other things, the CLCPA sets out a series of emissions reduction, renewable energy, and energy storage goals to significantly reduce the use of carbon-based fossil fuels and eventually achieve net zero GHG emissions in the state. On August 14, 2020, the New York Department of Environmental Conservation released proposed regulations to limit statewide GHG emissions as a percentage of 1990 emissions to 60% by 2030 and to 15% by 2050. Within two years after the effective date of the CLCPA (by July 2021), the New York State Climate Action Council must propose a scoping plan with recommendations for how the state can reduce carbon emissions, and within four years after the effective date (by July 2023), the New York Department of Environmental Conservation must adopt regulations that, in part, include measures to reduce GHG emissions from sources that have a cumulatively significant impact on statewide GHG emissions. Certain measures, such as reducing GHG emissions from fossil fuel-burning vehicles, boilers and furnaces, if adopted, could significantly negatively impact the Company’s New York State operations, which constitute a material portion of the Company’s business. Other states in which the Company operates and that are material to the Company’s operations have adopted similar GHG laws or have otherwise announced GHG reduction targets. However, whether and in what manner the CLCPA or other states’ GHG laws or targets could impact the Company remains uncertain at this time.</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and financial condition may be adversely affected by governmental regulation and associated environmental and regulatory costs.</w:t>
      </w:r>
    </w:p>
    <w:p>
      <w:pPr>
        <w:spacing w:after="0" w:line="5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Our business is subject to a wide range of federal, state and local laws and regulations related to environmental and other matters. Such laws and regulations have become increasingly stringent over time. Some state and local governments have enacted or are attempting to enact regulations and incentive programs encouraging the phase-out of the products that we sell in favor of other types of fuels, such as natural gas. We may experience increased costs due to stricter pollution control requirements or liabilities resulting from noncompliance with operating or other regulatory permits. New regulations, such as those relating to underground storage, transportation, and delivery of the products that we sell, might adversely impact operations or make them more costly. In addition, there are environmental risks inherently associated with home heating oil operations, such as the risks of accidental releases or spills. We have incurred and continue to incur costs to remediate soil and groundwater contamination at some of our locations. We cannot be sure that we have identified all such contamination, that we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line="266" w:lineRule="auto"/>
        <w:rPr>
          <w:sz w:val="20"/>
          <w:szCs w:val="20"/>
          <w:color w:val="auto"/>
        </w:rPr>
      </w:pPr>
      <w:r>
        <w:rPr>
          <w:rFonts w:ascii="Times New Roman" w:cs="Times New Roman" w:eastAsia="Times New Roman" w:hAnsi="Times New Roman"/>
          <w:sz w:val="18"/>
          <w:szCs w:val="18"/>
          <w:color w:val="auto"/>
        </w:rPr>
        <w:t>know the full extent of our obligations with respect to contamination of which we are aware, or that we will not become responsible for additional contamination not yet discovered. It is possible that material costs and liabilities will be incurred, including those relating to claims for damages to property and persons and the environment.</w:t>
      </w:r>
    </w:p>
    <w:p>
      <w:pPr>
        <w:spacing w:after="0" w:line="176" w:lineRule="exact"/>
        <w:rPr>
          <w:sz w:val="20"/>
          <w:szCs w:val="20"/>
          <w:color w:val="auto"/>
        </w:rPr>
      </w:pPr>
    </w:p>
    <w:p>
      <w:pPr>
        <w:ind w:right="600" w:firstLine="589"/>
        <w:spacing w:after="0" w:line="266" w:lineRule="auto"/>
        <w:rPr>
          <w:sz w:val="20"/>
          <w:szCs w:val="20"/>
          <w:color w:val="auto"/>
        </w:rPr>
      </w:pPr>
      <w:r>
        <w:rPr>
          <w:rFonts w:ascii="Times New Roman" w:cs="Times New Roman" w:eastAsia="Times New Roman" w:hAnsi="Times New Roman"/>
          <w:sz w:val="18"/>
          <w:szCs w:val="18"/>
          <w:color w:val="auto"/>
        </w:rPr>
        <w:t>In addition, our financial condition, results of operations and ability to pay distributions to our unitholders may be negatively impacted by significant changes in federal and state tax law. For example, an increase in federal and state income tax rates will reduce the amount of cash to pay distributions.</w:t>
      </w:r>
    </w:p>
    <w:p>
      <w:pPr>
        <w:spacing w:after="0" w:line="176"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color w:val="auto"/>
        </w:rPr>
        <w:t>There is increasing attention in the United States and worldwide concerning the issue of climate change and the effect of GHG emissions, in particular from the combustion of fossil fuels. Federal, regional and state regulatory authorities in many jurisdictions have begun taking steps to regulate GHG emissions. For example, as discussed above under “Risk Factor – Recent New York legislation has the potential to significantly negatively impact the Company’s New York operations,” the State of New York passed the CLCPA and other states have passed similar laws or have otherwise announced GHG reduction targets. Additionally, in October 2015, the United States Environmental Protection Agency (“EPA”) published the Clean Power Plan for the regulation of GHG emissions associated with the energy sector. However, following litigation and subsequent review, the EPA repealed the Clean Power Plan and issued the Affordable Clean Energy (“ACE”) Rule. If implemented, the ACE Rule would result in significantly less GHG reductions than would have been the case under the Clean Power Plan. Litigation of the ACE Rule is pending in the U.S. Court of Appeals for the District of Columbia. It is anticipated, however, that, after the inauguration of the new President on January 20, 2021, the EPA might request that the D.C. Circuit put the suits on hold on the grounds that the new administration intends to review and modify the ACE Rule, potentially adopting more stringent emission reduction requirements. In any event, it is likely that any regulatory program that caps emissions or imposes a carbon tax will increase costs for us and our customers, which could lead to increased conservation or customers seeking lower cost alternatives. We cannot yet estimate the compliance costs or business impact of potential national, regional or state GHG emissions reduction legislation, regulations or initiatives, since many such programs and proposals are still in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would be adversely affected if service at our third-party terminals or on the common carrier pipelines used is interrupted.</w:t>
      </w:r>
    </w:p>
    <w:p>
      <w:pPr>
        <w:spacing w:after="0" w:line="121" w:lineRule="exact"/>
        <w:rPr>
          <w:sz w:val="20"/>
          <w:szCs w:val="20"/>
          <w:color w:val="auto"/>
        </w:rPr>
      </w:pPr>
    </w:p>
    <w:p>
      <w:pPr>
        <w:jc w:val="both"/>
        <w:ind w:right="340" w:firstLine="589"/>
        <w:spacing w:after="0" w:line="266" w:lineRule="auto"/>
        <w:rPr>
          <w:sz w:val="20"/>
          <w:szCs w:val="20"/>
          <w:color w:val="auto"/>
        </w:rPr>
      </w:pPr>
      <w:r>
        <w:rPr>
          <w:rFonts w:ascii="Times New Roman" w:cs="Times New Roman" w:eastAsia="Times New Roman" w:hAnsi="Times New Roman"/>
          <w:sz w:val="18"/>
          <w:szCs w:val="18"/>
          <w:color w:val="auto"/>
        </w:rPr>
        <w:t>The products that we sell are transported in either barge, pipeline or in truckload quantities to third-party terminals where we have contracts to temporarily store our products. Any significant interruption in the service of these third-party terminals or on the common carrier pipelines used would adversely affect our ability to obtain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the use of information technology systems that could fail or be the target of cyber-attacks.</w:t>
      </w:r>
    </w:p>
    <w:p>
      <w:pPr>
        <w:spacing w:after="0" w:line="121"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Our systems and networks are maintained internally and by third-party vendors, and their failure could significantly impede operations. In addition, our systems and networks, as well as those of our vendors, banks and counterparties, may receive and store personal/business information in connection with human resources operations, customer offerings, and other aspects of our business. A cyber-attack or material network breach in the security of these systems could include the theft of proprietary information or employee and customer information, as well as disrupt our operations or damage our facilities or those of third parties. This could have a material adverse effect on our revenues and increase our operating and capital costs, which could reduce the amount of cash otherwise available for distribution. To the extent that any cyber-attack, security breach or other disruption results in a loss or damage to the Company’s data, or an inappropriate disclosure of confidential or customer or employee information, it could cause significant damage to the Company’s reputation, affect relationships with its customers and employees, lead to claims against the Company, and ultimately harm our business. In addition, we may be required to incur additional costs to modify, remediate and protect against damage caused by cyber-attacks, security breaches or other disruptions in the future.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People and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 have arisen and could arise in the future.</w:t>
      </w:r>
    </w:p>
    <w:p>
      <w:pPr>
        <w:spacing w:after="0" w:line="121"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Conflicts of interest have arisen and could arise in the future as a result of relationships between the general partner and its affiliates, on the one hand, and us or any of our limited partners, on the other hand. As a result of these conflicts the general partner may favor its own interests and those of its affiliates over the interests of the unitholders. The nature of these conflicts is ongoing and includes the following considerations:</w:t>
      </w:r>
    </w:p>
    <w:p>
      <w:pPr>
        <w:spacing w:after="0" w:line="68" w:lineRule="exact"/>
        <w:rPr>
          <w:sz w:val="20"/>
          <w:szCs w:val="20"/>
          <w:color w:val="auto"/>
        </w:rPr>
      </w:pPr>
    </w:p>
    <w:p>
      <w:pPr>
        <w:ind w:left="1020" w:hanging="43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partner’s affiliates are not prohibited from engaging in other business or activities, including direct competition with us.</w:t>
      </w:r>
    </w:p>
    <w:p>
      <w:pPr>
        <w:spacing w:after="0" w:line="117" w:lineRule="exact"/>
        <w:rPr>
          <w:rFonts w:ascii="Times New Roman" w:cs="Times New Roman" w:eastAsia="Times New Roman" w:hAnsi="Times New Roman"/>
          <w:sz w:val="18"/>
          <w:szCs w:val="18"/>
          <w:color w:val="auto"/>
        </w:rPr>
      </w:pPr>
    </w:p>
    <w:p>
      <w:pPr>
        <w:ind w:left="1020" w:right="300" w:hanging="432"/>
        <w:spacing w:after="0" w:line="289"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determines the amount and timing of asset purchases and sales, capital expenditures, distributions to unitholders, unit repurchases, borrowings and reserves, each of which can impact the amount of cash, if any, available for distribution to unitholders, and available to pay principal and interest on debt and the amount of incentive distributions payable in respect of the general partner units.</w:t>
      </w:r>
    </w:p>
    <w:p>
      <w:pPr>
        <w:spacing w:after="0" w:line="49" w:lineRule="exact"/>
        <w:rPr>
          <w:rFonts w:ascii="Times New Roman" w:cs="Times New Roman" w:eastAsia="Times New Roman" w:hAnsi="Times New Roman"/>
          <w:sz w:val="17"/>
          <w:szCs w:val="17"/>
          <w:color w:val="auto"/>
        </w:rPr>
      </w:pPr>
    </w:p>
    <w:p>
      <w:pPr>
        <w:ind w:left="1020" w:hanging="43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controls the enforcement of obligations owed to us by the general partner.</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decides whether to retain its counsel or engage separate counsel to perform services for us.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instances the general partner may borrow funds in order to permit the payment of distributions to unitholders.</w:t>
      </w:r>
    </w:p>
    <w:p>
      <w:pPr>
        <w:spacing w:after="0" w:line="117" w:lineRule="exact"/>
        <w:rPr>
          <w:rFonts w:ascii="Times New Roman" w:cs="Times New Roman" w:eastAsia="Times New Roman" w:hAnsi="Times New Roman"/>
          <w:sz w:val="18"/>
          <w:szCs w:val="18"/>
          <w:color w:val="auto"/>
        </w:rPr>
      </w:pPr>
    </w:p>
    <w:p>
      <w:pPr>
        <w:ind w:left="1020" w:right="460" w:hanging="432"/>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limit its liability and reduce its fiduciary duties, while also restricting the remedies available to unitholders for actions that might, without limitations, constitute breaches of fiduciary duty.</w:t>
      </w:r>
    </w:p>
    <w:p>
      <w:pPr>
        <w:spacing w:after="0" w:line="53" w:lineRule="exact"/>
        <w:rPr>
          <w:rFonts w:ascii="Times New Roman" w:cs="Times New Roman" w:eastAsia="Times New Roman" w:hAnsi="Times New Roman"/>
          <w:sz w:val="18"/>
          <w:szCs w:val="18"/>
          <w:color w:val="auto"/>
        </w:rPr>
      </w:pPr>
    </w:p>
    <w:p>
      <w:pPr>
        <w:ind w:left="1020" w:right="140" w:hanging="432"/>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are deemed to have consented to some actions and conflicts of interest that might otherwise be deemed a breach of fiduciary or other duties under applicable state law.</w:t>
      </w:r>
    </w:p>
    <w:p>
      <w:pPr>
        <w:spacing w:after="0" w:line="53" w:lineRule="exact"/>
        <w:rPr>
          <w:rFonts w:ascii="Times New Roman" w:cs="Times New Roman" w:eastAsia="Times New Roman" w:hAnsi="Times New Roman"/>
          <w:sz w:val="18"/>
          <w:szCs w:val="18"/>
          <w:color w:val="auto"/>
        </w:rPr>
      </w:pPr>
    </w:p>
    <w:p>
      <w:pPr>
        <w:ind w:left="1020" w:right="520" w:hanging="432"/>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allowed to take into account the interests of parties in addition to the Company in resolving conflicts of interest, thereby limiting its fiduciary duty to the unitholders.</w:t>
      </w:r>
    </w:p>
    <w:p>
      <w:pPr>
        <w:spacing w:after="0" w:line="53"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determines whether to issue additional units or other of our securities.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determines which costs are reimbursable by us.</w:t>
      </w:r>
    </w:p>
    <w:p>
      <w:pPr>
        <w:spacing w:after="0" w:line="117" w:lineRule="exact"/>
        <w:rPr>
          <w:rFonts w:ascii="Times New Roman" w:cs="Times New Roman" w:eastAsia="Times New Roman" w:hAnsi="Times New Roman"/>
          <w:sz w:val="18"/>
          <w:szCs w:val="18"/>
          <w:color w:val="auto"/>
        </w:rPr>
      </w:pPr>
    </w:p>
    <w:p>
      <w:pPr>
        <w:ind w:left="1020" w:right="60" w:hanging="432"/>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not restricted from causing us to pay the general partner or its affiliates for any services rendered on terms that are fair and reasonable to us or entering into additional contractual arrangements with any of these entities on our behalf.</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could experience significant increases in operating costs and reduced profitability due to competition for drivers and equipment technicians’ labor.</w:t>
      </w:r>
    </w:p>
    <w:p>
      <w:pPr>
        <w:spacing w:after="0" w:line="51" w:lineRule="exact"/>
        <w:rPr>
          <w:sz w:val="20"/>
          <w:szCs w:val="20"/>
          <w:color w:val="auto"/>
        </w:rPr>
      </w:pPr>
    </w:p>
    <w:p>
      <w:pPr>
        <w:jc w:val="both"/>
        <w:ind w:right="380" w:firstLine="589"/>
        <w:spacing w:after="0" w:line="266" w:lineRule="auto"/>
        <w:rPr>
          <w:sz w:val="20"/>
          <w:szCs w:val="20"/>
          <w:color w:val="auto"/>
        </w:rPr>
      </w:pPr>
      <w:r>
        <w:rPr>
          <w:rFonts w:ascii="Times New Roman" w:cs="Times New Roman" w:eastAsia="Times New Roman" w:hAnsi="Times New Roman"/>
          <w:sz w:val="18"/>
          <w:szCs w:val="18"/>
          <w:color w:val="auto"/>
        </w:rPr>
        <w:t>We compete with other entities for drivers and equipment technicians’ labor, including entities that operate in different market sectors than us. Costs to recruit, train and retain adequate personnel, the loss of certain personnel, our inability to attract and retain other qualified personnel or a labor shortage that reduces the pool of qualified candidates could adversely affect our results of operations.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A substantial portion of our workforce is unionized, and we may face labor actions that could disrupt our operations or lead to higher labor costs and adversely affect our business.</w:t>
      </w:r>
    </w:p>
    <w:p>
      <w:pPr>
        <w:spacing w:after="0" w:line="51"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As of September 30, 2020, approximately 44% of our employees were covered under 59 different collective bargaining agreements. As a result, we are usually involved in union negotiations with several local bargaining units at any given time. There can be no assurance that we will be able to negotiate the terms of any expired or expiring agreement on terms satisfactory to us. Although we consider our relations with our employees to be generally satisfactory, we may experience strikes, work stoppages or slowdowns in the future. If our unionized workers were to engage in a strike, work stoppage or other slowdown, we could experience a significant disruption of our operations, which could have a material adverse effect on our business, results of operations and financial condition.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1" w:name="page22"/>
    <w:bookmarkEnd w:id="21"/>
    <w:p>
      <w:pPr>
        <w:ind w:right="160"/>
        <w:spacing w:after="0" w:line="282" w:lineRule="auto"/>
        <w:rPr>
          <w:sz w:val="20"/>
          <w:szCs w:val="20"/>
          <w:color w:val="auto"/>
        </w:rPr>
      </w:pPr>
      <w:r>
        <w:rPr>
          <w:rFonts w:ascii="Times New Roman" w:cs="Times New Roman" w:eastAsia="Times New Roman" w:hAnsi="Times New Roman"/>
          <w:sz w:val="18"/>
          <w:szCs w:val="18"/>
          <w:color w:val="auto"/>
        </w:rPr>
        <w:t>Moreover, our non-union employees may become subject to labor organizing efforts. If any of our current non-union facilities were to unionize, we could incur increased risk of work stoppages and potentially higher labor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 (if any) are not guaranteed and may fluctuate with performance and reserve requirements.</w:t>
      </w:r>
    </w:p>
    <w:p>
      <w:pPr>
        <w:spacing w:after="0" w:line="121" w:lineRule="exact"/>
        <w:rPr>
          <w:sz w:val="20"/>
          <w:szCs w:val="20"/>
          <w:color w:val="auto"/>
        </w:rPr>
      </w:pPr>
    </w:p>
    <w:p>
      <w:pPr>
        <w:ind w:right="400" w:firstLine="589"/>
        <w:spacing w:after="0" w:line="282" w:lineRule="auto"/>
        <w:rPr>
          <w:sz w:val="20"/>
          <w:szCs w:val="20"/>
          <w:color w:val="auto"/>
        </w:rPr>
      </w:pPr>
      <w:r>
        <w:rPr>
          <w:rFonts w:ascii="Times New Roman" w:cs="Times New Roman" w:eastAsia="Times New Roman" w:hAnsi="Times New Roman"/>
          <w:sz w:val="18"/>
          <w:szCs w:val="18"/>
          <w:color w:val="auto"/>
        </w:rPr>
        <w:t>Distributions of available cash by us to unitholders will depend on the amount of cash generated, and distributions may fluctuate based on our performance. The actual amount of cash that is available will depend upon numerous factors, including:</w:t>
      </w:r>
    </w:p>
    <w:p>
      <w:pPr>
        <w:spacing w:after="0" w:line="54" w:lineRule="exact"/>
        <w:rPr>
          <w:sz w:val="20"/>
          <w:szCs w:val="20"/>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of operations,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principal and interest payments on debt or debt prepayments,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account requirements,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acquisitions,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debt and equity securities,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repurchased,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reserves,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business and other factors,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pension funding requirements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potential adverse litigation,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taxes we have to pay in Federal, State and local corporate income and franchise taxes.</w:t>
      </w:r>
    </w:p>
    <w:p>
      <w:pPr>
        <w:spacing w:after="0" w:line="225"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Our Credit Agreement imposes restrictions on our ability to pay distributions to unitholders, including the need to maintain certain covenants. (See the fifth amended and restated credit agreement and Note 13 of the Notes to the Consolidated Financial Statements—Long-Term Debt and Bank Facility Borrowings).</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controls, then we may not be able to accurately report our financial results or prevent fraud. As a result, current and potential unitholders could lose confidence in our financial reporting, which would harm our business and the trading price of our common units.</w:t>
      </w:r>
    </w:p>
    <w:p>
      <w:pPr>
        <w:spacing w:after="0" w:line="67"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prevent fraud and operate successfully as a public company. We may experience difficulties in implementing effective internal controls as part of our integration of acquisitions from private companies, which are not subject to the internal control requirements imposed on public companies. If we are unable to maintain adequate controls over our financial processes and reporting in the future or if the businesses we acquire have ineffective internal controls, our operating results could be harmed or we may fail to meet our reporting obligations. Ineffective internal controls over financial reporting could cause our unitholders to lose confidence in our reported financial information, which would likely have a negative effect on the trading price of our common units.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debt and other financial obligations could impair our financial condition and our ability to obtain additional financing and have a material adverse effect on us if we fail to meet our financial and other obligations.</w:t>
      </w:r>
    </w:p>
    <w:p>
      <w:pPr>
        <w:spacing w:after="0" w:line="5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At September 30, 2020, we had outstanding under our fifth amended and restated revolving credit facility agreement a $123.5 million term loan. In addition, under the revolver portion of our fifth amended and restated revolving credit facility agreement, we had no borrowings, but $3.5 million of letters of credit were issued, $11.1 million hedge positions were secured, and availability was $203.4 million. In December 2019, the Company refinanced its five-year term loan and the revolving credit facility with the execution of the fifth amended and restated revolving credit facility agreement, which had the effect of increasing the amount due under our term loan to $130 million, correspondingly reduced the borrowings under the revolver portion of the fourth amended and restated revolving credit facility agreement and extending the term of the facility to December 2024. (See the fifth amended and restated credit agreement and Note 13 of the Notes to the Consolidated Financial Statements—Long-Term Debt and Bank Facility Borrowings). Exclusive of the term loan, during the last three fiscal years we have utilized as much as $167.3 million of our Credit Agreement in borrowings, letters of credit and hedging reserve. Our substantial indebtedness and other financial obligations could:</w:t>
      </w:r>
    </w:p>
    <w:p>
      <w:pPr>
        <w:spacing w:after="0" w:line="80" w:lineRule="exact"/>
        <w:rPr>
          <w:sz w:val="20"/>
          <w:szCs w:val="20"/>
          <w:color w:val="auto"/>
        </w:rPr>
      </w:pPr>
    </w:p>
    <w:p>
      <w:pPr>
        <w:ind w:left="1020" w:right="500" w:hanging="43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additional financing in the future for working capital, capital expenditures, acquisitions, unit repurchases or general partnership purposes;</w:t>
      </w:r>
    </w:p>
    <w:p>
      <w:pPr>
        <w:spacing w:after="0" w:line="53" w:lineRule="exact"/>
        <w:rPr>
          <w:rFonts w:ascii="Times New Roman" w:cs="Times New Roman" w:eastAsia="Times New Roman" w:hAnsi="Times New Roman"/>
          <w:sz w:val="18"/>
          <w:szCs w:val="18"/>
          <w:color w:val="auto"/>
        </w:rPr>
      </w:pPr>
    </w:p>
    <w:p>
      <w:pPr>
        <w:ind w:left="1020" w:right="160" w:hanging="43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effect on us if we fail to comply with financial and affirmative and restrictive covenants in our debt agreements and an event of default occurs that is not cured or waived;</w:t>
      </w:r>
    </w:p>
    <w:p>
      <w:pPr>
        <w:spacing w:after="0" w:line="53" w:lineRule="exact"/>
        <w:rPr>
          <w:rFonts w:ascii="Times New Roman" w:cs="Times New Roman" w:eastAsia="Times New Roman" w:hAnsi="Times New Roman"/>
          <w:sz w:val="18"/>
          <w:szCs w:val="18"/>
          <w:color w:val="auto"/>
        </w:rPr>
      </w:pPr>
    </w:p>
    <w:p>
      <w:pPr>
        <w:ind w:left="1020" w:right="520" w:hanging="43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for principal and interest payments on our indebtedness and other financial obligations, thereby reducing the availability of our cash flow to fund working capital and capital expenditures;</w:t>
      </w:r>
    </w:p>
    <w:p>
      <w:pPr>
        <w:spacing w:after="0" w:line="53"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because certain of our borrowings are at variable rates of interest;</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proportionally less debt.</w:t>
      </w:r>
    </w:p>
    <w:p>
      <w:pPr>
        <w:spacing w:after="0" w:line="225" w:lineRule="exact"/>
        <w:rPr>
          <w:sz w:val="20"/>
          <w:szCs w:val="20"/>
          <w:color w:val="auto"/>
        </w:rPr>
      </w:pPr>
    </w:p>
    <w:p>
      <w:pPr>
        <w:ind w:right="180" w:firstLine="589"/>
        <w:spacing w:after="0" w:line="266" w:lineRule="auto"/>
        <w:rPr>
          <w:sz w:val="20"/>
          <w:szCs w:val="20"/>
          <w:color w:val="auto"/>
        </w:rPr>
      </w:pPr>
      <w:r>
        <w:rPr>
          <w:rFonts w:ascii="Times New Roman" w:cs="Times New Roman" w:eastAsia="Times New Roman" w:hAnsi="Times New Roman"/>
          <w:sz w:val="18"/>
          <w:szCs w:val="18"/>
          <w:color w:val="auto"/>
        </w:rPr>
        <w:t>If we are unable to meet our debt service obligations and other financial obligations, we could be forced to restructure or refinance our indebtedness and other financial transactions, seek additional equity capital or sell our assets. We might then be unable to obtain such financing or capital or sell our assets on satisfactory terms, if at all.</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are not required to accumulate cash for the purpose of meeting our future obligations to our lenders, which may limit the cash available to service the final payment due on the term loan outstanding under our Credit Agreement.</w:t>
      </w:r>
    </w:p>
    <w:p>
      <w:pPr>
        <w:spacing w:after="0" w:line="51"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Subject to the limitations on restricted payments that are contained in our Credit Agreement, we are not required to accumulate cash for the purpose of meeting our future obligations to our lenders. As a result, we may be required to refinance the final payment of our term loan. Our ability to refinance the term loan will depend upon our future results of operation and financial condition as well as developments in the capital markets. Our general partner will determine the future use of our cash resources and has broad discretion in determining such uses and in establishing reserves for such uses, which may include but are not limited to:</w:t>
      </w:r>
    </w:p>
    <w:p>
      <w:pPr>
        <w:spacing w:after="0" w:line="75" w:lineRule="exact"/>
        <w:rPr>
          <w:sz w:val="20"/>
          <w:szCs w:val="20"/>
          <w:color w:val="auto"/>
        </w:rPr>
      </w:pPr>
    </w:p>
    <w:p>
      <w:pPr>
        <w:ind w:left="1020" w:hanging="43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terms of any of our agreements or obligations;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distributions of cash to our unitholders in accordance with the requirements of our Partnership Agreement;</w:t>
      </w:r>
    </w:p>
    <w:p>
      <w:pPr>
        <w:spacing w:after="0" w:line="117" w:lineRule="exact"/>
        <w:rPr>
          <w:rFonts w:ascii="Times New Roman" w:cs="Times New Roman" w:eastAsia="Times New Roman" w:hAnsi="Times New Roman"/>
          <w:sz w:val="18"/>
          <w:szCs w:val="18"/>
          <w:color w:val="auto"/>
        </w:rPr>
      </w:pPr>
    </w:p>
    <w:p>
      <w:pPr>
        <w:ind w:left="1020" w:right="160" w:hanging="43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future capital expenditures and other payments deemed by our general partner to be necessary or advisable, including to make acquisitions; and</w:t>
      </w:r>
    </w:p>
    <w:p>
      <w:pPr>
        <w:spacing w:after="0" w:line="53"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repurchasing common units.</w:t>
      </w:r>
    </w:p>
    <w:p>
      <w:pPr>
        <w:spacing w:after="0" w:line="225" w:lineRule="exact"/>
        <w:rPr>
          <w:sz w:val="20"/>
          <w:szCs w:val="20"/>
          <w:color w:val="auto"/>
        </w:rPr>
      </w:pPr>
    </w:p>
    <w:p>
      <w:pPr>
        <w:ind w:right="440" w:firstLine="589"/>
        <w:spacing w:after="0" w:line="282" w:lineRule="auto"/>
        <w:rPr>
          <w:sz w:val="20"/>
          <w:szCs w:val="20"/>
          <w:color w:val="auto"/>
        </w:rPr>
      </w:pPr>
      <w:r>
        <w:rPr>
          <w:rFonts w:ascii="Times New Roman" w:cs="Times New Roman" w:eastAsia="Times New Roman" w:hAnsi="Times New Roman"/>
          <w:sz w:val="18"/>
          <w:szCs w:val="18"/>
          <w:color w:val="auto"/>
        </w:rPr>
        <w:t>Depending on the timing and amount of our use of cash, this could significantly reduce the cash available to us in subsequent periods to make payments on borrowings under our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Restrictive covenants in our Credit Agreement may reduce our operating flexibility.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Credit Agreement contains various covenants that limit our ability and the ability of our subsidiaries to, among other things:</w:t>
      </w:r>
    </w:p>
    <w:p>
      <w:pPr>
        <w:spacing w:after="0" w:line="117" w:lineRule="exact"/>
        <w:rPr>
          <w:sz w:val="20"/>
          <w:szCs w:val="20"/>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our unitholders;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our outstanding equity interests or subordinated indebtedness;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ability of our subsidiaries to make payments, loans, guarantees and transfers of assets or interests in assets;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merger or consolidation with or into other companies, or a sale of all or substantially all of our properties or assets;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lines of business.</w:t>
      </w:r>
    </w:p>
    <w:p>
      <w:pPr>
        <w:spacing w:after="0" w:line="225"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These restrictions could limit our ability to obtain future financings, make capital expenditures, withstand a future downturn in our business or the economy in general, conduct operations or otherwise take advantage of business opportunities that may arise. Our Credit Agreement also requires us to maintain specified financial ratios and satisfy other financial conditions. Our ability to meet those financial ratios and conditions can be affected by events beyond their control, such as weather conditions and general economic conditions. Accordingly, we may be unable to meet those ratios and conditions.</w:t>
      </w:r>
    </w:p>
    <w:p>
      <w:pPr>
        <w:spacing w:after="0" w:line="180"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Any breach of any of these covenants, failure to meet any of these ratios or conditions, or occurrence of a change of control would result in a default under the terms of the relevant indebtedness or other financial obligations to become immediately due and payable. If we were unable to repay those amounts, the lenders could initiate a bankruptcy proceeding or liquidation proceeding or proceed against the collateral, if any. If the lenders of our indebtedness or other financial obligations accelerate the repayment of borrowings or other amounts owed, we may not have sufficient assets to repay our indebtedness or other financial obligations, including the notes.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Under our Credit Agreement, the occurrence of a “change of control” is considered a default. We may be unable to repay borrowings under our Credit Agreement if the indebtedness outstanding thereunder is accelerated following a change of control.</w:t>
      </w:r>
    </w:p>
    <w:p>
      <w:pPr>
        <w:spacing w:after="0" w:line="5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we may not have the financial resources to repay borrowings under our Credit Agreement and may be unable to satisfy our obligations unless we are able to refinance or obtain waivers under our other indebtedness.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efficiency and new technology may reduce the demand for our products and adversely affect our operating results.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Increased conservation and technological advances, including installation of improved insulation and the development of more efficient furnaces and other heating devices, have adversely affected the demand for our products by retail customers. Future conservation measures or technological advances in heating, conservation, energy generation or other devices might reduce demand and adversely affect our operating results.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Economic conditions could adversely affect our results of operations and financial condition.</w:t>
      </w:r>
    </w:p>
    <w:p>
      <w:pPr>
        <w:spacing w:after="0" w:line="121" w:lineRule="exact"/>
        <w:rPr>
          <w:sz w:val="20"/>
          <w:szCs w:val="20"/>
          <w:color w:val="auto"/>
        </w:rPr>
      </w:pPr>
    </w:p>
    <w:p>
      <w:pPr>
        <w:ind w:right="180" w:firstLine="589"/>
        <w:spacing w:after="0" w:line="255" w:lineRule="auto"/>
        <w:rPr>
          <w:sz w:val="20"/>
          <w:szCs w:val="20"/>
          <w:color w:val="auto"/>
        </w:rPr>
      </w:pPr>
      <w:r>
        <w:rPr>
          <w:rFonts w:ascii="Times New Roman" w:cs="Times New Roman" w:eastAsia="Times New Roman" w:hAnsi="Times New Roman"/>
          <w:sz w:val="18"/>
          <w:szCs w:val="18"/>
          <w:color w:val="auto"/>
        </w:rPr>
        <w:t>Uncertainty about economic conditions poses a risk as our customers may reduce or postpone spending in response to tighter credit, negative financial news and/or declines in income or asset values, which could have a material negative effect on the demand for our equipment and services and could lead to increased conservation, as we have seen certain of our customers seek lower cost providers. Any increase in existing customers or potential new customers seeking lower cost providers and/or increase in our rejection rate of potential accounts because of credit considerations could increase our overall rate of net customer attrition. In addition, recessionary economic conditions could negatively impact the spending and financial viability of our customers; particularly our commercial motor fuel customers. As a result, we could experience an increase in bad debts from financially distressed customers, which would have a negative effect on our liquidity, results of operations and financial condition.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risk of global terrorism and political unrest may adversely affect the economy and the price and availability of the products that we sell and have a material adverse effect on our business, financial condition and results of operations.</w:t>
      </w:r>
    </w:p>
    <w:p>
      <w:pPr>
        <w:spacing w:after="0" w:line="51"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Terrorist attacks, political unrest and war may adversely impact the price and availability of the products that we sell, our results of operations, our ability to raise capital and our future growth. The impact that the foregoing may have on our industry in general, and on our business in particular, is not known at this time. An act of terror could result in disruptions of crude oil supplies, markets and facilities, and the source of the products that we sell could be direct or indirect targets. Terrorist activity may also hinder our ability to transport our products if our normal means of transportation become damaged as a result of an attack. Instability in the financial markets as a result of terrorism could also affect our ability to raise capital. Terrorist activity could likely lead to increased volatility in the prices of our products.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hurricanes and other natural disasters could cause disruptions in supply and could also reduce the demand for the products that we sell, which would have a material adverse effect on our business, financial condition and results of operations.</w:t>
      </w:r>
    </w:p>
    <w:p>
      <w:pPr>
        <w:spacing w:after="0" w:line="51"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Hurricanes and other natural disasters may cause disruptions in the supply chains for the products that we sell. Disruptions in supply could have a material adverse effect on our business, financial condition and results of operations, causing an increase in wholesale prices and a decrease in supply. Hurricanes and other natural disasters could also cause disruptions in the power grid, which could prevent our customers from operating their home heating oil systems, thereby reducing our sales. For example, on October 29, 2012, storm Sandy made landfall in our service area, resulting in widespread power outages that affected a number of our customers. Deliveries of home heating oil and propane were less than expected for certain of our customers who were without power for several weeks subsequent to storm Sandy.</w:t>
      </w:r>
    </w:p>
    <w:p>
      <w:pPr>
        <w:spacing w:after="0" w:line="29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33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right="180" w:firstLine="589"/>
        <w:spacing w:after="0" w:line="258" w:lineRule="auto"/>
        <w:rPr>
          <w:sz w:val="20"/>
          <w:szCs w:val="20"/>
          <w:color w:val="auto"/>
        </w:rPr>
      </w:pPr>
      <w:r>
        <w:rPr>
          <w:rFonts w:ascii="Times New Roman" w:cs="Times New Roman" w:eastAsia="Times New Roman" w:hAnsi="Times New Roman"/>
          <w:sz w:val="18"/>
          <w:szCs w:val="18"/>
          <w:color w:val="auto"/>
        </w:rPr>
        <w:t>We currently provide services to our customers in the United States in fourteen states and the District of Columbia, ranging from Maine to Maryland from 40 principal operating locations and 80 depots, 50 of which are owned and 70 of which are leased. As of September 30, 2020, we had a fleet of 1,209 truck and transport vehicles, the majority of which were owned, 1,233 service and 373 support vehicles, the majority of which were leased. Our obligations under our Credit Agreement are secured by liens and mortgages on substantially all of the Company’s and subsidiaries’ real and personal property.</w:t>
      </w:r>
    </w:p>
    <w:p>
      <w:pPr>
        <w:spacing w:after="0" w:line="28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PROCEEDINGS—LITIGATION</w:t>
      </w:r>
    </w:p>
    <w:p>
      <w:pPr>
        <w:spacing w:after="0" w:line="121" w:lineRule="exact"/>
        <w:rPr>
          <w:sz w:val="20"/>
          <w:szCs w:val="20"/>
          <w:color w:val="auto"/>
        </w:rPr>
      </w:pPr>
    </w:p>
    <w:p>
      <w:pPr>
        <w:ind w:right="80" w:firstLine="589"/>
        <w:spacing w:after="0" w:line="282" w:lineRule="auto"/>
        <w:rPr>
          <w:sz w:val="20"/>
          <w:szCs w:val="20"/>
          <w:color w:val="auto"/>
        </w:rPr>
      </w:pPr>
      <w:r>
        <w:rPr>
          <w:rFonts w:ascii="Times New Roman" w:cs="Times New Roman" w:eastAsia="Times New Roman" w:hAnsi="Times New Roman"/>
          <w:sz w:val="18"/>
          <w:szCs w:val="18"/>
          <w:color w:val="auto"/>
        </w:rPr>
        <w:t>We are involved from time to time in litigation incidental to the conduct of our business, but we are not currently a party to any material lawsuit or proceeding.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2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UNITS AND RELATED MATTERS</w:t>
      </w:r>
    </w:p>
    <w:p>
      <w:pPr>
        <w:spacing w:after="0" w:line="121"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The common units, representing limited partner interests in Star, are listed and traded on the New York Stock Exchange, Inc. (“NYSE”) under the symbol “SGU.”</w:t>
      </w:r>
    </w:p>
    <w:p>
      <w:pPr>
        <w:spacing w:after="0" w:line="54" w:lineRule="exact"/>
        <w:rPr>
          <w:sz w:val="20"/>
          <w:szCs w:val="20"/>
          <w:color w:val="auto"/>
        </w:rPr>
      </w:pPr>
    </w:p>
    <w:p>
      <w:pPr>
        <w:ind w:right="10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range of the daily high and low sales prices per common unit and the cash distributions declared on each unit for the periods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SGU – Common Unit Price Range</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Distributions Declared</w:t>
            </w:r>
          </w:p>
        </w:tc>
      </w:tr>
      <w:tr>
        <w:trPr>
          <w:trHeight w:val="156"/>
        </w:trPr>
        <w:tc>
          <w:tcPr>
            <w:tcW w:w="56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5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cente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9"/>
              <w:spacing w:after="0" w:line="145" w:lineRule="exact"/>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2"/>
                <w:szCs w:val="12"/>
                <w:color w:val="auto"/>
              </w:rPr>
            </w:pPr>
          </w:p>
        </w:tc>
        <w:tc>
          <w:tcPr>
            <w:tcW w:w="580" w:type="dxa"/>
            <w:vAlign w:val="bottom"/>
          </w:tcPr>
          <w:p>
            <w:pPr>
              <w:jc w:val="right"/>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2"/>
                <w:szCs w:val="12"/>
                <w:color w:val="auto"/>
              </w:rPr>
            </w:pPr>
          </w:p>
        </w:tc>
      </w:tr>
      <w:tr>
        <w:trPr>
          <w:trHeight w:val="162"/>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73"/>
        </w:trPr>
        <w:tc>
          <w:tcPr>
            <w:tcW w:w="5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6"/>
              </w:rPr>
              <w:t>0.1250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6"/>
              </w:rPr>
              <w:t>0.1175</w:t>
            </w:r>
          </w:p>
        </w:tc>
        <w:tc>
          <w:tcPr>
            <w:tcW w:w="100" w:type="dxa"/>
            <w:vAlign w:val="bottom"/>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0.1250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0.1175</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6"/>
              </w:rPr>
              <w:t>0.1325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0.1250</w:t>
            </w:r>
          </w:p>
        </w:tc>
        <w:tc>
          <w:tcPr>
            <w:tcW w:w="100" w:type="dxa"/>
            <w:vAlign w:val="bottom"/>
            <w:shd w:val="clear" w:color="auto" w:fill="CFF0FC"/>
          </w:tcPr>
          <w:p>
            <w:pPr>
              <w:spacing w:after="0"/>
              <w:rPr>
                <w:sz w:val="19"/>
                <w:szCs w:val="19"/>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0.1325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0.1250</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November 30, 2020, there were approximately 214 holders of record of common units.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is no established public trading market for the Company’s 0.3 million general partner units.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Provisions</w:t>
      </w:r>
    </w:p>
    <w:p>
      <w:pPr>
        <w:spacing w:after="0" w:line="121"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We are required to make distributions in an amount equal to our Available Cash, as defined in our Partnership Agreement, no more than 45 days after the end of each fiscal quarter, to holders of record on the applicable record dates. Available Cash, as defined in our Partnership Agreement, generally means all cash on hand at the end of the relevant fiscal quarter less the amount of cash reserves established by the Board of Directors of our general partner in its reasonable discretion for future cash requirements. These reserves are established for the proper conduct of our business (including reserves for future capital expenditures) for minimum quarterly distributions during the next four quarters and to comply with applicable laws and the terms of any debt agreements or other agreement to which we are subject. The Board of Directors of our general partner reviews the level of Available Cash each quarter based upon information provided by management.</w:t>
      </w:r>
    </w:p>
    <w:p>
      <w:pPr>
        <w:spacing w:after="0" w:line="189"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According to the terms of our Partnership Agreement, minimum quarterly distributions on the common units accrue at the rate of $0.0675 per quarter ($0.27 on an annual basis). The information concerning restrictions on distributions required by Item 5 of this Report is incorporated by reference to Note 4 to the Company’s Consolidated Financial Statements - Quarterly Distribution of Available Cash. The Credit Agreement imposes certain restrictions on our ability to pay distributions to unitholders. In order to pay any distributions to unitholders or repurchase Common Units, the Company must maintain Availability (as defined in the Credit Agreement) of $45 million, 15.0% of the facility size of $300 million (assuming the non-seasonal aggregate commitment is in effect), on a historical pro forma and forward-looking basis, and a fixed charge coverage ratio of not less than 1.15 measured as of the date of repurchase. (See Note 13 of the Notes to the Consolidated Financial Statements—Long-Term Debt and Bank Facility Borrowings).</w:t>
      </w:r>
    </w:p>
    <w:p>
      <w:pPr>
        <w:spacing w:after="0" w:line="189"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On October 22, 2020, we declared a quarterly distribution of $0.1325 per unit, or $0.53 per unit on an annualized basis, on all Common Units with respect to the fourth quarter of fiscal 2020, paid on November 10, 2020, to holders of record on November 2, 2020. The amount of distributions in excess of the minimum quarterly distribution of $0.0675, were distributed in accordance with our Partnership Agreement, subject to management incentive compensation plan. As a result, $5.7 million was paid to the Common Unit holders, $0.2 million to the general partner unit holders (including $0.2 million of incentive distribution as provided in our Partnership Agreement) and $0.2 million to management pursuant to the management incentive compensation plan which provides for certain members of management to receive incentive distributions that would otherwise be payable to the General Partner.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Common Unit Repurchase Plans and Retirement</w:t>
      </w:r>
    </w:p>
    <w:p>
      <w:pPr>
        <w:spacing w:after="0" w:line="121"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Note 5 to the Consolidated Financial Statements concerning the Company’s repurchase of Common Units during the fiscal year ended September 30, 2020 is incorporated into this Item 5 by reference.</w:t>
      </w:r>
    </w:p>
    <w:p>
      <w:pPr>
        <w:spacing w:after="0" w:line="200" w:lineRule="exact"/>
        <w:rPr>
          <w:sz w:val="20"/>
          <w:szCs w:val="20"/>
          <w:color w:val="auto"/>
        </w:rPr>
      </w:pPr>
    </w:p>
    <w:p>
      <w:pPr>
        <w:spacing w:after="0" w:line="28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HISTORICAL FINANCIAL AND OPERATING DATA</w:t>
      </w:r>
    </w:p>
    <w:p>
      <w:pPr>
        <w:spacing w:after="0" w:line="121"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The selected financial data as of September 30, 2020 and 2019, and for the years ended September 30, 2020, 2019 and 2018 is derived from the financial statements of Star included elsewhere in this Report. The selected financial data as of September 30, 2018, 2017 and 2016 and for the years ended September 30, 2017 and 2016 is derived from the financial statements of Star not included in this Report. See Item 7. Management’s Discussion and Analysis of Financial Condition and Results of Operations.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Fiscal Years Ending September 30,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2020 (*)</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2019 (*)</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Statement of Operations Data: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1,467,458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1,753,872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1,677,837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1,323,555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1,266,166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1,214,495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(11,408)</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(18,217)</w:t>
            </w:r>
          </w:p>
        </w:tc>
        <w:tc>
          <w:tcPr>
            <w:tcW w:w="0" w:type="dxa"/>
            <w:vAlign w:val="bottom"/>
          </w:tcPr>
          <w:p>
            <w:pPr>
              <w:spacing w:after="0"/>
              <w:rPr>
                <w:sz w:val="1"/>
                <w:szCs w:val="1"/>
                <w:color w:val="auto"/>
              </w:rPr>
            </w:pPr>
          </w:p>
        </w:tc>
      </w:tr>
      <w:tr>
        <w:trPr>
          <w:trHeight w:val="22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Delivery and branch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Finance charge 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55,332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(7,043)</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 average number of limited partner units: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540" w:right="2180" w:hanging="5532"/>
        <w:spacing w:after="0" w:line="532" w:lineRule="auto"/>
        <w:tabs>
          <w:tab w:leader="none" w:pos="5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fiscal years 2020 and 2019 reflects the adoption of ASU No. 2014-09, Revenue from Contracts with Customers.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60" w:type="dxa"/>
            <w:vAlign w:val="bottom"/>
            <w:tcBorders>
              <w:bottom w:val="single" w:sz="8" w:color="CFF0FC"/>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b w:val="1"/>
                <w:bCs w:val="1"/>
                <w:color w:val="auto"/>
              </w:rPr>
              <w:t>2020 (*)</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2019 (*)</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Per Unit Data:</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 net income per unit (a)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distribution declared per common unit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226,345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226,830</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241,241</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838,616</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752,706</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729,971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673,917</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109,805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65,717</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Partners’ Capital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255,820</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309,785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306,068</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Summary Cash Flow Data:</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175,668</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97,382</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(28,141)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(82,166)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(65,252)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(66,381)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(19,631)</w:t>
            </w: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(95,515)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(24,848)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(43,646)</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Earnings from continuing operations before net interest expense, income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(EBITDA) (b)</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121,867</w:t>
            </w:r>
          </w:p>
        </w:tc>
        <w:tc>
          <w:tcPr>
            <w:tcW w:w="16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70,251</w:t>
            </w:r>
          </w:p>
        </w:tc>
        <w:tc>
          <w:tcPr>
            <w:tcW w:w="16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83,214</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Adjusted EBITDA (b)</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130,346</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81,021</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Retail home heating oil and propane gallons sold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Motor fuel and other petroleum products gallons sold</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Temperatures (warmer) colder than normal (c)</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(10.2)%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(12.4)%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(17.8)%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right="80" w:hanging="572"/>
        <w:spacing w:after="0" w:line="261"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unit is computed in accordance with FASB ASC 260-10-45-60 Earnings per Share, Master Limited Partnerships (EITF 03-06). See Note 19. Earnings Per Limited Partner Units, of the consolidated financial statements.</w:t>
      </w:r>
    </w:p>
    <w:p>
      <w:pPr>
        <w:ind w:left="580" w:right="20" w:hanging="572"/>
        <w:spacing w:after="0" w:line="253"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w:t>
      </w:r>
    </w:p>
    <w:p>
      <w:pPr>
        <w:spacing w:after="0" w:line="78"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financial covenants included in our debt agreements;</w:t>
      </w:r>
    </w:p>
    <w:p>
      <w:pPr>
        <w:spacing w:after="0" w:line="117"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without regard to financing methods, capital structure, income taxes or historical cost basis;</w:t>
      </w:r>
    </w:p>
    <w:p>
      <w:pPr>
        <w:spacing w:after="0" w:line="117" w:lineRule="exact"/>
        <w:rPr>
          <w:rFonts w:ascii="Times New Roman" w:cs="Times New Roman" w:eastAsia="Times New Roman" w:hAnsi="Times New Roman"/>
          <w:sz w:val="18"/>
          <w:szCs w:val="18"/>
          <w:color w:val="auto"/>
        </w:rPr>
      </w:pPr>
    </w:p>
    <w:p>
      <w:pPr>
        <w:ind w:left="1620" w:right="60" w:hanging="438"/>
        <w:spacing w:after="0" w:line="282"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invested capital as compared to those of other companies in the retail distribution of refined petroleum products business, without regard to financing methods and capital structure;</w:t>
      </w:r>
    </w:p>
    <w:p>
      <w:pPr>
        <w:spacing w:after="0" w:line="53"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sufficient to pay interest on our indebtedness and to make distributions to our partners; and</w:t>
      </w:r>
    </w:p>
    <w:p>
      <w:pPr>
        <w:spacing w:after="0" w:line="117"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capital expenditure projects and the overall rates of return of alternative investment opportunities.</w:t>
      </w:r>
    </w:p>
    <w:p>
      <w:pPr>
        <w:spacing w:after="0" w:line="225"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The method of calculating Adjusted EBITDA may not be consistent with that of other companies, and EBITDA and Adjusted EBITDA both have limitations as an analytical tool and so should not be viewed in isolation and should be viewed in conjunction with measurements that are computed in accordance with GAAP. Some of the limitations of EBITDA and Adjusted EBITDA are:</w:t>
      </w:r>
    </w:p>
    <w:p>
      <w:pPr>
        <w:spacing w:after="0" w:line="68" w:lineRule="exact"/>
        <w:rPr>
          <w:sz w:val="20"/>
          <w:szCs w:val="20"/>
          <w:color w:val="auto"/>
        </w:rPr>
      </w:pPr>
    </w:p>
    <w:p>
      <w:pPr>
        <w:ind w:left="5540" w:right="4040" w:hanging="4952"/>
        <w:spacing w:after="0" w:line="532" w:lineRule="auto"/>
        <w:tabs>
          <w:tab w:leader="none" w:pos="10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used for capital expenditures;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9" w:name="page30"/>
    <w:bookmarkEnd w:id="29"/>
    <w:p>
      <w:pPr>
        <w:ind w:left="1020" w:right="320" w:hanging="432"/>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53"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necessary to make payments of interest or principal on our indebtedness;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required to pay taxes.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EBITDA and Adjusted EBITDA are calculated for the fiscal years ended September 30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2020 (*)</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2019 (*)</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Borders>
              <w:bottom w:val="single" w:sz="8" w:color="CFF0FC"/>
            </w:tcBorders>
          </w:tcPr>
          <w:p>
            <w:pPr>
              <w:spacing w:after="0"/>
              <w:rPr>
                <w:sz w:val="19"/>
                <w:szCs w:val="19"/>
                <w:color w:val="auto"/>
              </w:rPr>
            </w:pPr>
          </w:p>
        </w:tc>
        <w:tc>
          <w:tcPr>
            <w:tcW w:w="5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(Increase)/decrease in the fair value of derivative instruments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(11,408)</w:t>
            </w:r>
          </w:p>
        </w:tc>
        <w:tc>
          <w:tcPr>
            <w:tcW w:w="16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(18,217)</w:t>
            </w:r>
          </w:p>
        </w:tc>
        <w:tc>
          <w:tcPr>
            <w:tcW w:w="0" w:type="dxa"/>
            <w:vAlign w:val="bottom"/>
          </w:tcPr>
          <w:p>
            <w:pPr>
              <w:spacing w:after="0"/>
              <w:rPr>
                <w:sz w:val="1"/>
                <w:szCs w:val="1"/>
                <w:color w:val="auto"/>
              </w:rPr>
            </w:pPr>
          </w:p>
        </w:tc>
      </w:tr>
      <w:tr>
        <w:trPr>
          <w:trHeight w:val="230"/>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 (d)</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(7,043)</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86,235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FF0FC"/>
          </w:tcPr>
          <w:p>
            <w:pPr>
              <w:spacing w:after="0"/>
              <w:rPr>
                <w:sz w:val="16"/>
                <w:szCs w:val="16"/>
                <w:color w:val="auto"/>
              </w:rPr>
            </w:pPr>
          </w:p>
        </w:tc>
        <w:tc>
          <w:tcPr>
            <w:tcW w:w="578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Add/(subtract)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CFF0FC"/>
          </w:tcPr>
          <w:p>
            <w:pPr>
              <w:spacing w:after="0" w:line="20" w:lineRule="exact"/>
              <w:rPr>
                <w:sz w:val="1"/>
                <w:szCs w:val="1"/>
                <w:color w:val="auto"/>
              </w:rPr>
            </w:pPr>
          </w:p>
        </w:tc>
        <w:tc>
          <w:tcPr>
            <w:tcW w:w="4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(7,602)</w:t>
            </w:r>
          </w:p>
        </w:tc>
        <w:tc>
          <w:tcPr>
            <w:tcW w:w="16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0" w:type="dxa"/>
            <w:vAlign w:val="bottom"/>
          </w:tcPr>
          <w:p>
            <w:pPr>
              <w:spacing w:after="0"/>
              <w:rPr>
                <w:sz w:val="1"/>
                <w:szCs w:val="1"/>
                <w:color w:val="auto"/>
              </w:rPr>
            </w:pPr>
          </w:p>
        </w:tc>
      </w:tr>
      <w:tr>
        <w:trPr>
          <w:trHeight w:val="230"/>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(9,702)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(11,164)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(8,716)</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(6,775)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29"/>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receivables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(37,149)</w:t>
            </w:r>
          </w:p>
        </w:tc>
        <w:tc>
          <w:tcPr>
            <w:tcW w:w="16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(6,306)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(10,598)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customer credit balances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(6,563)</w:t>
            </w:r>
          </w:p>
        </w:tc>
        <w:tc>
          <w:tcPr>
            <w:tcW w:w="16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shd w:val="clear" w:color="auto" w:fill="CFF0FC"/>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deferred taxes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(5,126)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Borders>
              <w:bottom w:val="single" w:sz="8" w:color="CFF0FC"/>
            </w:tcBorders>
          </w:tcPr>
          <w:p>
            <w:pPr>
              <w:spacing w:after="0"/>
              <w:rPr>
                <w:sz w:val="19"/>
                <w:szCs w:val="19"/>
                <w:color w:val="auto"/>
              </w:rPr>
            </w:pPr>
          </w:p>
        </w:tc>
        <w:tc>
          <w:tcPr>
            <w:tcW w:w="5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CFF0FC"/>
            </w:tcBorders>
            <w:shd w:val="clear" w:color="auto" w:fill="CFF0FC"/>
          </w:tcPr>
          <w:p>
            <w:pPr>
              <w:spacing w:after="0"/>
              <w:rPr>
                <w:sz w:val="19"/>
                <w:szCs w:val="19"/>
                <w:color w:val="auto"/>
              </w:rPr>
            </w:pPr>
          </w:p>
        </w:tc>
        <w:tc>
          <w:tcPr>
            <w:tcW w:w="5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175,668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FF0FC"/>
            </w:tcBorders>
          </w:tcPr>
          <w:p>
            <w:pPr>
              <w:spacing w:after="0"/>
              <w:rPr>
                <w:sz w:val="21"/>
                <w:szCs w:val="21"/>
                <w:color w:val="auto"/>
              </w:rPr>
            </w:pPr>
          </w:p>
        </w:tc>
        <w:tc>
          <w:tcPr>
            <w:tcW w:w="5780" w:type="dxa"/>
            <w:vAlign w:val="bottom"/>
            <w:tcBorders>
              <w:bottom w:val="single" w:sz="8" w:color="CFF0FC"/>
            </w:tcBorders>
            <w:gridSpan w:val="2"/>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160" w:type="dxa"/>
            <w:vAlign w:val="bottom"/>
            <w:tcBorders>
              <w:bottom w:val="single" w:sz="8" w:color="CFF0FC"/>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(82,166</w:t>
            </w:r>
          </w:p>
        </w:tc>
        <w:tc>
          <w:tcPr>
            <w:tcW w:w="160" w:type="dxa"/>
            <w:vAlign w:val="bottom"/>
            <w:tcBorders>
              <w:bottom w:val="single" w:sz="8" w:color="CFF0FC"/>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(65,252</w:t>
            </w:r>
          </w:p>
        </w:tc>
        <w:tc>
          <w:tcPr>
            <w:tcW w:w="240" w:type="dxa"/>
            <w:vAlign w:val="bottom"/>
            <w:tcBorders>
              <w:bottom w:val="single" w:sz="8" w:color="CFF0FC"/>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(66,381</w:t>
            </w:r>
          </w:p>
        </w:tc>
        <w:tc>
          <w:tcPr>
            <w:tcW w:w="160" w:type="dxa"/>
            <w:vAlign w:val="bottom"/>
            <w:tcBorders>
              <w:bottom w:val="single" w:sz="8" w:color="CFF0FC"/>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60" w:type="dxa"/>
            <w:vAlign w:val="bottom"/>
            <w:tcBorders>
              <w:bottom w:val="single" w:sz="8" w:color="CFF0FC"/>
            </w:tcBorders>
            <w:shd w:val="clear" w:color="auto" w:fill="CFF0FC"/>
          </w:tcPr>
          <w:p>
            <w:pPr>
              <w:spacing w:after="0"/>
              <w:rPr>
                <w:sz w:val="18"/>
                <w:szCs w:val="18"/>
                <w:color w:val="auto"/>
              </w:rPr>
            </w:pPr>
          </w:p>
        </w:tc>
        <w:tc>
          <w:tcPr>
            <w:tcW w:w="5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(95,515</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540" w:hanging="432"/>
        <w:spacing w:after="0" w:line="257"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Temperatures (warmer) colder than normal are for those locations where we had existing operations, which we sometimes refer to as the “base business” (i.e. excluding acquisitions), temperatures (measured on a degree day basis) as reported by the National Oceanic and Atmospheric Administration (“NOAA”).</w:t>
      </w:r>
    </w:p>
    <w:p>
      <w:pPr>
        <w:spacing w:after="0" w:line="1" w:lineRule="exact"/>
        <w:rPr>
          <w:rFonts w:ascii="Times New Roman" w:cs="Times New Roman" w:eastAsia="Times New Roman" w:hAnsi="Times New Roman"/>
          <w:sz w:val="18"/>
          <w:szCs w:val="18"/>
          <w:color w:val="auto"/>
        </w:rPr>
      </w:pPr>
    </w:p>
    <w:p>
      <w:pPr>
        <w:ind w:left="440" w:right="20" w:hanging="432"/>
        <w:spacing w:after="0" w:line="260"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2020, we sold certain propane assets and recorded a loss of $5.7 million. During fiscal 2018, we sold our security business to a national dealer and recorded a gain of $7.0 million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89"/>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“forward-looking statements” which represent our expectations or beliefs concerning future events that involve risks and uncertainties, including those associated with the severity and duration of the novel coronavirus, or COVID-19, pandemic, the pandemic’s impact on the U.S. and global economies, the timing, scope and effectiveness of federal, state and local governmental responses to the pandemic, the effect of weather conditions on our financial performance, the price and supply of the products that we sell, the consumption patterns of our customers, our ability to obtain satisfactory gross profit margins, our ability to obtain new customers and retain existing customers, our ability to make strategic acquisitions, the impact of litigation, our ability to contract for our current and future supply needs, natural gas conversions, future union relations and the outcome of current and future union negotiations, the impact of current and future governmental regulations, including climate change, environmental, health, and safety regulations, the ability to attract and retain employees, customer credit worthiness, counterparty credit worthiness, marketing plans, potential cyber-attacks, general economic conditions and new technology.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and actual results may differ materially from those projected as a result of certain risks and uncertainties. These risks and uncertainties include, but are not limited to, those set forth in this Report under the heading “Risk Factors” and “Business Strategy.” Important factors that could cause actual results to differ materially from our expectations (“Cautionary Statements”) are disclosed in this Report. Currently, one of the most significant factors, however, is the potential adverse effect of the current pandemic of the novel coronavirus, or COVID-19, on the financial condition, results of operations, cash flows and performance of the Company, its customers and counterparties, and the global economy and financial markets. The extent to which COVID-19 impacts us and our customers will depend on future developments, which are highly uncertain and cannot be predicted with confidence, including the scope, severity and duration of the pandemic, the actions taken to contain the pandemic or mitigate its impact, the direct and indirect economic effects of the pandemic and containment measures, among others.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 19 - A Global Pandemic on our Operations and Outlook</w:t>
      </w:r>
    </w:p>
    <w:p>
      <w:pPr>
        <w:spacing w:after="0" w:line="121" w:lineRule="exact"/>
        <w:rPr>
          <w:sz w:val="20"/>
          <w:szCs w:val="20"/>
          <w:color w:val="auto"/>
        </w:rPr>
      </w:pPr>
    </w:p>
    <w:p>
      <w:pPr>
        <w:ind w:right="40" w:firstLine="656"/>
        <w:spacing w:after="0" w:line="254" w:lineRule="auto"/>
        <w:rPr>
          <w:sz w:val="20"/>
          <w:szCs w:val="20"/>
          <w:color w:val="auto"/>
        </w:rPr>
      </w:pPr>
      <w:r>
        <w:rPr>
          <w:rFonts w:ascii="Times New Roman" w:cs="Times New Roman" w:eastAsia="Times New Roman" w:hAnsi="Times New Roman"/>
          <w:sz w:val="18"/>
          <w:szCs w:val="18"/>
          <w:color w:val="auto"/>
        </w:rPr>
        <w:t>In December 2019, there was an outbreak of a new strain of coronavirus (“COVID-19”). On March 11, 2020, the World Health Organization characterized the outbreak of COVID-19 as a global pandemic and recommended containment and mitigation measures. The United States has declared a national emergency concerning the outbreak, which has adversely impacted global activity and contributed to significant declines and volatility in financial markets. Public health and governmental authorities nationally and in affected regions have taken and continue to take extraordinary and wide-ranging actions to contain and combat the outbreak and spread of COVID-19, including restrictions on travel and business operations, quarantines, and orders and similar mandates for many individuals to substantially restrict daily activities and for many businesses to curtail or cease normal operations. Our business is concentrated in the Northeast and Mid-Atlantic sections of the United States. These areas have been and continue to be significantly impacted by the virus.</w:t>
      </w:r>
    </w:p>
    <w:p>
      <w:pPr>
        <w:spacing w:after="0" w:line="84" w:lineRule="exact"/>
        <w:rPr>
          <w:sz w:val="20"/>
          <w:szCs w:val="20"/>
          <w:color w:val="auto"/>
        </w:rPr>
      </w:pPr>
    </w:p>
    <w:p>
      <w:pPr>
        <w:ind w:right="120" w:firstLine="656"/>
        <w:spacing w:after="0" w:line="256" w:lineRule="auto"/>
        <w:rPr>
          <w:sz w:val="20"/>
          <w:szCs w:val="20"/>
          <w:color w:val="auto"/>
        </w:rPr>
      </w:pPr>
      <w:r>
        <w:rPr>
          <w:rFonts w:ascii="Times New Roman" w:cs="Times New Roman" w:eastAsia="Times New Roman" w:hAnsi="Times New Roman"/>
          <w:sz w:val="18"/>
          <w:szCs w:val="18"/>
          <w:color w:val="auto"/>
        </w:rPr>
        <w:t>We have been designated by state and local governmental officials in the markets we serve as providing essential services during the COVID-19 pandemic. Therefore, we have continued to make fuel deliveries and provide emergency services to all areas in which we operate. We are closely monitoring all official pronouncements and executive orders concerning our status as an essential business. To date, we have not experienced any supply chain issues impacting our ability to deliver petroleum products to our customers. However, we are experiencing disruptions in the procurement of certain HVAC equipment and home generators. Since March 2020, we have implemented various measures in response to the COVID-19 pandemic, such as a majority of our office personnel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working remotely. While these measures have not significantly impacted our ability to serve our customers to date, these measures may become strained or result in service delays, especially as we enter the peak heating season.</w:t>
      </w:r>
    </w:p>
    <w:p>
      <w:pPr>
        <w:spacing w:after="0" w:line="54" w:lineRule="exact"/>
        <w:rPr>
          <w:sz w:val="20"/>
          <w:szCs w:val="20"/>
          <w:color w:val="auto"/>
        </w:rPr>
      </w:pPr>
    </w:p>
    <w:p>
      <w:pPr>
        <w:ind w:right="220" w:firstLine="656"/>
        <w:spacing w:after="0" w:line="261" w:lineRule="auto"/>
        <w:rPr>
          <w:sz w:val="20"/>
          <w:szCs w:val="20"/>
          <w:color w:val="auto"/>
        </w:rPr>
      </w:pPr>
      <w:r>
        <w:rPr>
          <w:rFonts w:ascii="Times New Roman" w:cs="Times New Roman" w:eastAsia="Times New Roman" w:hAnsi="Times New Roman"/>
          <w:sz w:val="18"/>
          <w:szCs w:val="18"/>
          <w:color w:val="auto"/>
        </w:rPr>
        <w:t>As a result of the COVID-19 pandemic, and in order to protect the safety and health of our workforce and our customers, we have expanded certain employee benefit programs and will incur additional operating costs such as sanitizing our facilities, providing personal protective equipment for our employees and providing IT infrastructure to allow many office, clerical, sales and customer service employees to work from home. At this time, we expect the annual cost of these undertakings to be at least $2.0 million.</w:t>
      </w:r>
    </w:p>
    <w:p>
      <w:pPr>
        <w:spacing w:after="0" w:line="72" w:lineRule="exact"/>
        <w:rPr>
          <w:sz w:val="20"/>
          <w:szCs w:val="20"/>
          <w:color w:val="auto"/>
        </w:rPr>
      </w:pPr>
    </w:p>
    <w:p>
      <w:pPr>
        <w:ind w:firstLine="656"/>
        <w:spacing w:after="0" w:line="261" w:lineRule="auto"/>
        <w:rPr>
          <w:sz w:val="20"/>
          <w:szCs w:val="20"/>
          <w:color w:val="auto"/>
        </w:rPr>
      </w:pPr>
      <w:r>
        <w:rPr>
          <w:rFonts w:ascii="Times New Roman" w:cs="Times New Roman" w:eastAsia="Times New Roman" w:hAnsi="Times New Roman"/>
          <w:sz w:val="18"/>
          <w:szCs w:val="18"/>
          <w:color w:val="auto"/>
        </w:rPr>
        <w:t>In certain markets more heavily impacted by the pandemic, we ceased making non-emergency service calls that would have been performed in the third quarter of fiscal 2020 under normal conditions. To a certain extent, our service activity in the fourth quarter of fiscal 2020 reflected a return to somewhat normal conditions. At this time, we expect to experience a modest increase in service costs in future quarters as a result of non-emergency service calls being pushed to the peak heating oil season.</w:t>
      </w:r>
    </w:p>
    <w:p>
      <w:pPr>
        <w:spacing w:after="0" w:line="72" w:lineRule="exact"/>
        <w:rPr>
          <w:sz w:val="20"/>
          <w:szCs w:val="20"/>
          <w:color w:val="auto"/>
        </w:rPr>
      </w:pPr>
    </w:p>
    <w:p>
      <w:pPr>
        <w:ind w:right="20" w:firstLine="656"/>
        <w:spacing w:after="0" w:line="255" w:lineRule="auto"/>
        <w:rPr>
          <w:sz w:val="20"/>
          <w:szCs w:val="20"/>
          <w:color w:val="auto"/>
        </w:rPr>
      </w:pPr>
      <w:r>
        <w:rPr>
          <w:rFonts w:ascii="Times New Roman" w:cs="Times New Roman" w:eastAsia="Times New Roman" w:hAnsi="Times New Roman"/>
          <w:sz w:val="18"/>
          <w:szCs w:val="18"/>
          <w:color w:val="auto"/>
        </w:rPr>
        <w:t>In the third quarter of fiscal 2020, we believe that some of our customers deferred non-emergency services, including the installation of new equipment, which caused a decline in equipment installation sales of $2.8 million, or 11.5%, versus the prior-year period. However, in the fourth quarter of fiscal 2020, our installation sales rebounded and increased by $2.4 million, or 9.0%, versus the fourth quarter of fiscal 2019. Also, in the third quarter of fiscal 2020, we experienced a decline in motor fuel sales volume of 10.1 million gallons, or 23.7% versus the prior year’s period due to a significant reduction in economic activity. This trend continued into the fourth quarter of fiscal 2020, albeit not as great as the third quarter of fiscal 2020 as motor fuel sales decreased by 4.7 million gallons, or 10.6 %. If we continue to see declines in equipment and motor fuel sales, our financial results may suffer accordingly.</w:t>
      </w:r>
    </w:p>
    <w:p>
      <w:pPr>
        <w:spacing w:after="0" w:line="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we had accounts receivable of $83.6 million, of which $57.0 million was due from residential customers and $26.6 million due from commercial customers. Our ability to borrow from our bank group is based in part on the aging of these accounts receivable. If past due balances that do not meet the eligibility tests as found in our fifth amended and restated credit agreement increase from historic levels, our future ability to borrow would be reduced.</w:t>
      </w:r>
    </w:p>
    <w:p>
      <w:pPr>
        <w:spacing w:after="0" w:line="72"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The Company has taken advantage of certain tax and legislative actions which permitted the Company to defer its April 2020 and June 2020 Federal and State income tax payments to July 2020 and to defer certain payroll tax withholdings relating to calendar 2020 to calendar 2021 and 2022.</w:t>
      </w:r>
    </w:p>
    <w:p>
      <w:pPr>
        <w:spacing w:after="0" w:line="3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COVID-19’s impact on our business, operating results, cash flows (including the collection of current and future accounts receivable) and/or financial condition primarily will be driven by the severity and duration of the pandemic, the pandemic’s impact on the U.S. and global economies, the price of petroleum products, and the timing, scope and effectiveness of federal, state and local governmental responses to the pandemic. We continue to monitor the effects of the pandemic on our business; however, the primary drivers are beyond our knowledge and control and, as a result, at this time we cannot reasonably estimate the ultimate adverse impact COVID-19 will have on our business, operating results, cash flows and/or financial condition going forward.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Liquidity of Increases and Decreases in Wholesale Product Cost</w:t>
      </w:r>
    </w:p>
    <w:p>
      <w:pPr>
        <w:spacing w:after="0" w:line="121" w:lineRule="exact"/>
        <w:rPr>
          <w:sz w:val="20"/>
          <w:szCs w:val="20"/>
          <w:color w:val="auto"/>
        </w:rPr>
      </w:pPr>
    </w:p>
    <w:p>
      <w:pPr>
        <w:ind w:right="120" w:firstLine="554"/>
        <w:spacing w:after="0" w:line="255" w:lineRule="auto"/>
        <w:rPr>
          <w:sz w:val="20"/>
          <w:szCs w:val="20"/>
          <w:color w:val="auto"/>
        </w:rPr>
      </w:pPr>
      <w:r>
        <w:rPr>
          <w:rFonts w:ascii="Times New Roman" w:cs="Times New Roman" w:eastAsia="Times New Roman" w:hAnsi="Times New Roman"/>
          <w:sz w:val="18"/>
          <w:szCs w:val="18"/>
          <w:color w:val="auto"/>
        </w:rPr>
        <w:t>Our liquidity is adversely impacted in times of increasing wholesale product costs, as we must use more cash to fund our hedging requirements as well as the increased levels of accounts receivable and inventory. This may result in higher interest expense as a result of increased working capital borrowing to finance higher receivables and/or inventory balances. We may also incur higher bad debt expense and credit card processing costs as a result of higher selling prices as well as higher vehicle fuel costs due to the increase in energy costs. While our liquidity is impacted by initial margin requirements for new future positions used to hedge our inventory, it can also be adversely impacted by sudden and sharp decreases in wholesale product costs, due to the increased margin requirements for futures contracts. Likewise, our liquidity and collateral requirements are impacted by the fluctuating cost of options and swaps used to manage the market risks associated with our inventory and protected price customers.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right="80" w:firstLine="554"/>
        <w:spacing w:after="0" w:line="256" w:lineRule="auto"/>
        <w:rPr>
          <w:sz w:val="20"/>
          <w:szCs w:val="20"/>
          <w:color w:val="auto"/>
        </w:rPr>
      </w:pPr>
      <w:r>
        <w:rPr>
          <w:rFonts w:ascii="Times New Roman" w:cs="Times New Roman" w:eastAsia="Times New Roman" w:hAnsi="Times New Roman"/>
          <w:sz w:val="18"/>
          <w:szCs w:val="18"/>
          <w:color w:val="auto"/>
        </w:rPr>
        <w:t>Volatility, which is reflected in the wholesale price of liquid products, including home heating oil, propane and motor fuels, has a larger impact on our business when prices rise. Consumers are price sensitive to heating cost increases, which can lead to increased gross customer losses. As a commodity, the price of home heating oil is generally impacted by many factors, including economic and geopolitical forces, and, most recently, the COVID-19 pandemic, and is closely linked to the price of diesel fuel. The volatility in the wholesale cost of diesel fuel as measured by the New York Mercantile Exchange (“NYMEX”), for the fiscal years ending September 30, 2016, through 2020, on a quarterly basis, is illustrated in the following chart (price per gallon):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1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Fiscal 2020 (a)</w:t>
            </w:r>
          </w:p>
        </w:tc>
        <w:tc>
          <w:tcPr>
            <w:tcW w:w="22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0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200" w:type="dxa"/>
            <w:vAlign w:val="bottom"/>
          </w:tcPr>
          <w:p>
            <w:pPr>
              <w:spacing w:after="0"/>
              <w:rPr>
                <w:sz w:val="15"/>
                <w:szCs w:val="15"/>
                <w:color w:val="auto"/>
              </w:rPr>
            </w:pPr>
          </w:p>
        </w:tc>
        <w:tc>
          <w:tcPr>
            <w:tcW w:w="122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200" w:type="dxa"/>
            <w:vAlign w:val="bottom"/>
          </w:tcPr>
          <w:p>
            <w:pPr>
              <w:spacing w:after="0"/>
              <w:rPr>
                <w:sz w:val="15"/>
                <w:szCs w:val="15"/>
                <w:color w:val="auto"/>
              </w:rPr>
            </w:pPr>
          </w:p>
        </w:tc>
        <w:tc>
          <w:tcPr>
            <w:tcW w:w="12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$ 1.86</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$ 2.05</w:t>
            </w:r>
          </w:p>
        </w:tc>
        <w:tc>
          <w:tcPr>
            <w:tcW w:w="2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$ 1.66</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$ 2.44</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$ 1.74</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$ 2.08</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$ 1.39</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$ 1.70</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$ 1.08</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right="20" w:hanging="432"/>
        <w:spacing w:after="0" w:line="28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2020, the NYMEX ultra low sulfur diesel contract closed at $1.37 per gallon or $0.02 per gallon lower than the average of $1.39 in Fiscal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Book versus Tax Deductions</w:t>
      </w:r>
    </w:p>
    <w:p>
      <w:pPr>
        <w:spacing w:after="0" w:line="119" w:lineRule="exact"/>
        <w:rPr>
          <w:sz w:val="20"/>
          <w:szCs w:val="20"/>
          <w:color w:val="auto"/>
        </w:rPr>
      </w:pPr>
    </w:p>
    <w:p>
      <w:pPr>
        <w:ind w:right="120" w:firstLine="554"/>
        <w:spacing w:after="0" w:line="256" w:lineRule="auto"/>
        <w:rPr>
          <w:sz w:val="20"/>
          <w:szCs w:val="20"/>
          <w:color w:val="auto"/>
        </w:rPr>
      </w:pPr>
      <w:r>
        <w:rPr>
          <w:rFonts w:ascii="Times New Roman" w:cs="Times New Roman" w:eastAsia="Times New Roman" w:hAnsi="Times New Roman"/>
          <w:sz w:val="18"/>
          <w:szCs w:val="18"/>
          <w:color w:val="auto"/>
        </w:rPr>
        <w:t>The amount of cash flow generated in any given year depends upon a variety of factors including the amount of cash income taxes required, which will increase as depreciation and amortization decreases. The amount of depreciation and amortization that we deduct for book (i.e., financial reporting) purposes will differ from the amount that the Company can deduct for Federal tax purposes. The table below compares the estimated depreciation and amortization for book purposes to the amount that we expect to deduct for Federal tax purposes, based on currently owned assets. While we file our tax returns based on a calendar year, the amounts below are based on our September 30 fiscal year, and the tax amounts include any 100% bonus depreciation available for fixed assets purchased. However, this table does not include any forecast of future annual capital purchases.</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Estimated Depreciation and Amortization Expense</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Fiscal Year</w:t>
            </w:r>
          </w:p>
        </w:tc>
        <w:tc>
          <w:tcPr>
            <w:tcW w:w="24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Book</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Tax</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80" w:type="dxa"/>
            <w:vAlign w:val="bottom"/>
            <w:shd w:val="clear" w:color="auto" w:fill="CFF0FC"/>
          </w:tcPr>
          <w:p>
            <w:pPr>
              <w:spacing w:after="0"/>
              <w:rPr>
                <w:sz w:val="19"/>
                <w:szCs w:val="19"/>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Hedge Contracts</w:t>
      </w:r>
    </w:p>
    <w:p>
      <w:pPr>
        <w:spacing w:after="0" w:line="121"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Weather conditions have a significant impact on the demand for home heating oil and propane because certain customers depend on these products principally for space heating purposes. Actual weather conditions may vary substantially from year to year, significantly affecting the Company’s financial performance. To partially mitigate the adverse effect of warm weather on cash flow, we have used weather hedging contracts for a number of years with several providers.</w:t>
      </w:r>
    </w:p>
    <w:p>
      <w:pPr>
        <w:spacing w:after="0" w:line="180"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Under these contracts, we are entitled to a payment if the total number of degree days within the hedge period is less than the ten-year average. The “Payment Thresholds,” or strikes, are set at various levels. In fiscal 2021, we are obligated to make a payment capped at $5.0 million if degree days exceed the ten year average. The hedge period runs from November 1 through March 31, taken as a whole, for each respective fiscal year. For fiscal 2020 we recorded a $10.1 million benefit, and for fiscal 2019 we recorded a charge of $2.1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Per Gallon Gross Profit Margins</w:t>
      </w:r>
    </w:p>
    <w:p>
      <w:pPr>
        <w:spacing w:after="0" w:line="121" w:lineRule="exact"/>
        <w:rPr>
          <w:sz w:val="20"/>
          <w:szCs w:val="20"/>
          <w:color w:val="auto"/>
        </w:rPr>
      </w:pPr>
    </w:p>
    <w:p>
      <w:pPr>
        <w:ind w:right="40" w:firstLine="633"/>
        <w:spacing w:after="0" w:line="266" w:lineRule="auto"/>
        <w:rPr>
          <w:sz w:val="20"/>
          <w:szCs w:val="20"/>
          <w:color w:val="auto"/>
        </w:rPr>
      </w:pPr>
      <w:r>
        <w:rPr>
          <w:rFonts w:ascii="Times New Roman" w:cs="Times New Roman" w:eastAsia="Times New Roman" w:hAnsi="Times New Roman"/>
          <w:sz w:val="18"/>
          <w:szCs w:val="18"/>
          <w:color w:val="auto"/>
        </w:rPr>
        <w:t>We believe home heating oil and propane margins should be evaluated on a cents per gallon basis (before the effects of increases or decreases in the fair value of derivative instruments), as we believe that such per gallon margins are best at showing profit trends in the underlying business, without the impact of non-cash changes in the market value of hedges before the settlement of the underlying transaction.</w:t>
      </w:r>
    </w:p>
    <w:p>
      <w:pPr>
        <w:spacing w:after="0" w:line="176" w:lineRule="exact"/>
        <w:rPr>
          <w:sz w:val="20"/>
          <w:szCs w:val="20"/>
          <w:color w:val="auto"/>
        </w:rPr>
      </w:pPr>
    </w:p>
    <w:p>
      <w:pPr>
        <w:ind w:right="100" w:firstLine="589"/>
        <w:spacing w:after="0" w:line="255"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individual customers under an arrangement pre-establishing a ceiling price or fixed price for home heating oil over a set period of time, generally twelve to twenty-four months (“price-protected” customers). When these price-protected customers agree to purchase home heating oil from us for the next heating season, we purchase option contracts, swaps and futures contracts for a substantial majority of the heating oil that we expect to sell to these customers. The amount of home heating oil volume that we hedge per price-protected customer is based upon the estimated fuel consumption per average customer per month. In the event that the actual usage exceeds the amount of the hedged volume on a monthly basis, we may be required to obtain additional volume at unfavorable costs. In addition, should actual usage in any month be less than the hedged volume, our hedging costs and losses could be greater, thus reducing expected margins.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To the extent our interest rate derivative instruments designated as cash flow hedges are effective, as defined under this guidance, changes in fair value are recognized in other comprehensive income until the forecasted hedged item is recognized in earnings. We have elected not to designate our commodity derivative instruments as hedging instruments under this guidance and, as a result, the changes in fair value of the derivative instruments are recognized in our statement of operations. Therefore, we experience volatility in earnings as outstanding derivative instruments are marked to 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We measure net customer attrition on an ongoing basis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or lost at newly acquired businesses are included in these calculations. Customer attrition percentage calculations include customers added through acquisitions in the denominators of the calculations on a weighted average basis. Gross customer losses are the result of a number of factors, including price competition, move-outs, credit losses, conversions to natural gas and service disruptions. When a customer moves out of an existing home, we count the “move out” as a loss, and if we are successful in signing up the new homeowner, the “move in” is treated as a gain. The economic impact of COVID-19 could increase future attrition due to higher losses from credit related issues.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and losses of home heating oil and propane customers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22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2"/>
                <w:szCs w:val="12"/>
                <w:color w:val="auto"/>
              </w:rPr>
            </w:pPr>
          </w:p>
        </w:tc>
      </w:tr>
      <w:tr>
        <w:trPr>
          <w:trHeight w:val="173"/>
        </w:trPr>
        <w:tc>
          <w:tcPr>
            <w:tcW w:w="2220" w:type="dxa"/>
            <w:vAlign w:val="bottom"/>
          </w:tcPr>
          <w:p>
            <w:pPr>
              <w:spacing w:after="0"/>
              <w:rPr>
                <w:sz w:val="15"/>
                <w:szCs w:val="15"/>
                <w:color w:val="auto"/>
              </w:rPr>
            </w:pPr>
          </w:p>
        </w:tc>
        <w:tc>
          <w:tcPr>
            <w:tcW w:w="20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Gains /</w:t>
            </w:r>
          </w:p>
        </w:tc>
        <w:tc>
          <w:tcPr>
            <w:tcW w:w="20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 /</w:t>
            </w:r>
          </w:p>
        </w:tc>
        <w:tc>
          <w:tcPr>
            <w:tcW w:w="20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92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Gains /</w:t>
            </w:r>
          </w:p>
        </w:tc>
      </w:tr>
      <w:tr>
        <w:trPr>
          <w:trHeight w:val="155"/>
        </w:trPr>
        <w:tc>
          <w:tcPr>
            <w:tcW w:w="2220" w:type="dxa"/>
            <w:vAlign w:val="bottom"/>
          </w:tcPr>
          <w:p>
            <w:pPr>
              <w:spacing w:after="0"/>
              <w:rPr>
                <w:sz w:val="13"/>
                <w:szCs w:val="13"/>
                <w:color w:val="auto"/>
              </w:rPr>
            </w:pPr>
          </w:p>
        </w:tc>
        <w:tc>
          <w:tcPr>
            <w:tcW w:w="100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800" w:type="dxa"/>
            <w:vAlign w:val="bottom"/>
            <w:tcBorders>
              <w:top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780" w:type="dxa"/>
            <w:vAlign w:val="bottom"/>
            <w:tcBorders>
              <w:top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3"/>
                <w:szCs w:val="13"/>
                <w:color w:val="auto"/>
              </w:rPr>
            </w:pPr>
          </w:p>
        </w:tc>
        <w:tc>
          <w:tcPr>
            <w:tcW w:w="10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00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800" w:type="dxa"/>
            <w:vAlign w:val="bottom"/>
            <w:tcBorders>
              <w:top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3"/>
                <w:szCs w:val="13"/>
                <w:color w:val="auto"/>
              </w:rPr>
            </w:pPr>
          </w:p>
        </w:tc>
        <w:tc>
          <w:tcPr>
            <w:tcW w:w="920" w:type="dxa"/>
            <w:vAlign w:val="bottom"/>
            <w:gridSpan w:val="2"/>
          </w:tcPr>
          <w:p>
            <w:pPr>
              <w:jc w:val="center"/>
              <w:ind w:right="41"/>
              <w:spacing w:after="0" w:line="155" w:lineRule="exact"/>
              <w:rPr>
                <w:sz w:val="20"/>
                <w:szCs w:val="20"/>
                <w:color w:val="auto"/>
              </w:rPr>
            </w:pPr>
            <w:r>
              <w:rPr>
                <w:rFonts w:ascii="Times New Roman" w:cs="Times New Roman" w:eastAsia="Times New Roman" w:hAnsi="Times New Roman"/>
                <w:sz w:val="14"/>
                <w:szCs w:val="14"/>
                <w:b w:val="1"/>
                <w:bCs w:val="1"/>
                <w:color w:val="auto"/>
              </w:rPr>
              <w:t>(Attrition)</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3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(8,800)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23"/>
        </w:trPr>
        <w:tc>
          <w:tcPr>
            <w:tcW w:w="22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(attrition) as a percentage of home heating oil and propane customer base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1760" w:type="dxa"/>
            <w:vAlign w:val="bottom"/>
            <w:tcBorders>
              <w:bottom w:val="single" w:sz="8" w:color="auto"/>
            </w:tcBorders>
            <w:gridSpan w:val="3"/>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Gross Customer</w:t>
            </w:r>
          </w:p>
        </w:tc>
        <w:tc>
          <w:tcPr>
            <w:tcW w:w="26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320" w:type="dxa"/>
            <w:vAlign w:val="bottom"/>
          </w:tcPr>
          <w:p>
            <w:pPr>
              <w:spacing w:after="0"/>
              <w:rPr>
                <w:sz w:val="13"/>
                <w:szCs w:val="13"/>
                <w:color w:val="auto"/>
              </w:rPr>
            </w:pPr>
          </w:p>
        </w:tc>
        <w:tc>
          <w:tcPr>
            <w:tcW w:w="1780" w:type="dxa"/>
            <w:vAlign w:val="bottom"/>
            <w:tcBorders>
              <w:bottom w:val="single" w:sz="8" w:color="auto"/>
            </w:tcBorders>
            <w:gridSpan w:val="3"/>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Gross Customer</w:t>
            </w:r>
          </w:p>
        </w:tc>
        <w:tc>
          <w:tcPr>
            <w:tcW w:w="26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320" w:type="dxa"/>
            <w:vAlign w:val="bottom"/>
          </w:tcPr>
          <w:p>
            <w:pPr>
              <w:spacing w:after="0"/>
              <w:rPr>
                <w:sz w:val="13"/>
                <w:szCs w:val="13"/>
                <w:color w:val="auto"/>
              </w:rPr>
            </w:pPr>
          </w:p>
        </w:tc>
        <w:tc>
          <w:tcPr>
            <w:tcW w:w="1780" w:type="dxa"/>
            <w:vAlign w:val="bottom"/>
            <w:tcBorders>
              <w:bottom w:val="single" w:sz="8" w:color="auto"/>
            </w:tcBorders>
            <w:gridSpan w:val="3"/>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Gross Customer</w:t>
            </w:r>
          </w:p>
        </w:tc>
        <w:tc>
          <w:tcPr>
            <w:tcW w:w="26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80" w:type="dxa"/>
            <w:vAlign w:val="bottom"/>
          </w:tcPr>
          <w:p>
            <w:pPr>
              <w:spacing w:after="0"/>
              <w:rPr>
                <w:sz w:val="11"/>
                <w:szCs w:val="11"/>
                <w:color w:val="auto"/>
              </w:rPr>
            </w:pPr>
          </w:p>
        </w:tc>
        <w:tc>
          <w:tcPr>
            <w:tcW w:w="7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vMerge w:val="restart"/>
          </w:tcPr>
          <w:p>
            <w:pPr>
              <w:spacing w:after="0"/>
              <w:rPr>
                <w:sz w:val="11"/>
                <w:szCs w:val="11"/>
                <w:color w:val="auto"/>
              </w:rPr>
            </w:pPr>
          </w:p>
        </w:tc>
        <w:tc>
          <w:tcPr>
            <w:tcW w:w="7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vMerge w:val="restart"/>
          </w:tcPr>
          <w:p>
            <w:pPr>
              <w:spacing w:after="0"/>
              <w:rPr>
                <w:sz w:val="11"/>
                <w:szCs w:val="11"/>
                <w:color w:val="auto"/>
              </w:rPr>
            </w:pPr>
          </w:p>
        </w:tc>
        <w:tc>
          <w:tcPr>
            <w:tcW w:w="11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Gains /</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vMerge w:val="restart"/>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vMerge w:val="restart"/>
          </w:tcPr>
          <w:p>
            <w:pPr>
              <w:spacing w:after="0"/>
              <w:rPr>
                <w:sz w:val="11"/>
                <w:szCs w:val="11"/>
                <w:color w:val="auto"/>
              </w:rPr>
            </w:pPr>
          </w:p>
        </w:tc>
        <w:tc>
          <w:tcPr>
            <w:tcW w:w="1120" w:type="dxa"/>
            <w:vAlign w:val="bottom"/>
            <w:gridSpan w:val="2"/>
          </w:tcPr>
          <w:p>
            <w:pPr>
              <w:jc w:val="center"/>
              <w:ind w:right="230"/>
              <w:spacing w:after="0" w:line="131" w:lineRule="exact"/>
              <w:rPr>
                <w:sz w:val="20"/>
                <w:szCs w:val="20"/>
                <w:color w:val="auto"/>
              </w:rPr>
            </w:pPr>
            <w:r>
              <w:rPr>
                <w:rFonts w:ascii="Times New Roman" w:cs="Times New Roman" w:eastAsia="Times New Roman" w:hAnsi="Times New Roman"/>
                <w:sz w:val="14"/>
                <w:szCs w:val="14"/>
                <w:b w:val="1"/>
                <w:bCs w:val="1"/>
                <w:color w:val="auto"/>
              </w:rPr>
              <w:t>Gains /</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vMerge w:val="restart"/>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vMerge w:val="restart"/>
          </w:tcPr>
          <w:p>
            <w:pPr>
              <w:spacing w:after="0"/>
              <w:rPr>
                <w:sz w:val="11"/>
                <w:szCs w:val="11"/>
                <w:color w:val="auto"/>
              </w:rPr>
            </w:pPr>
          </w:p>
        </w:tc>
        <w:tc>
          <w:tcPr>
            <w:tcW w:w="1020" w:type="dxa"/>
            <w:vAlign w:val="bottom"/>
            <w:gridSpan w:val="2"/>
          </w:tcPr>
          <w:p>
            <w:pPr>
              <w:jc w:val="center"/>
              <w:ind w:right="130"/>
              <w:spacing w:after="0" w:line="131" w:lineRule="exact"/>
              <w:rPr>
                <w:sz w:val="20"/>
                <w:szCs w:val="20"/>
                <w:color w:val="auto"/>
              </w:rPr>
            </w:pPr>
            <w:r>
              <w:rPr>
                <w:rFonts w:ascii="Times New Roman" w:cs="Times New Roman" w:eastAsia="Times New Roman" w:hAnsi="Times New Roman"/>
                <w:sz w:val="14"/>
                <w:szCs w:val="14"/>
                <w:b w:val="1"/>
                <w:bCs w:val="1"/>
                <w:color w:val="auto"/>
              </w:rPr>
              <w:t>Gains /</w:t>
            </w:r>
          </w:p>
        </w:tc>
        <w:tc>
          <w:tcPr>
            <w:tcW w:w="0" w:type="dxa"/>
            <w:vAlign w:val="bottom"/>
          </w:tcPr>
          <w:p>
            <w:pPr>
              <w:spacing w:after="0"/>
              <w:rPr>
                <w:sz w:val="1"/>
                <w:szCs w:val="1"/>
                <w:color w:val="auto"/>
              </w:rPr>
            </w:pPr>
          </w:p>
        </w:tc>
      </w:tr>
      <w:tr>
        <w:trPr>
          <w:trHeight w:val="173"/>
        </w:trPr>
        <w:tc>
          <w:tcPr>
            <w:tcW w:w="18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3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3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shd w:val="clear" w:color="auto" w:fill="CFF0FC"/>
          </w:tcPr>
          <w:p>
            <w:pPr>
              <w:spacing w:after="0"/>
              <w:rPr>
                <w:sz w:val="19"/>
                <w:szCs w:val="19"/>
                <w:color w:val="auto"/>
              </w:rPr>
            </w:pP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For fiscal 2020, the Company lost 15,500 accounts (net), or 3.4%, of its home heating oil and propane customer base, compared to 25,100 accounts lost (net), or 5.4%, of its home heating oil and propane customer base, during fiscal 2019. The Company’s net customer attrition improved by 9,600 accounts. Gross customer gains were 3,900 less than the prior year’s comparable period, and gross customer losses were 13,500 accounts lower.</w:t>
      </w:r>
    </w:p>
    <w:p>
      <w:pPr>
        <w:spacing w:after="0" w:line="68"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For fiscal 2019, the Company lost 25,100 accounts (net), or 5.4%, of its home heating oil and propane customer base, compared to 14,600 accounts lost (net), or 3.2%, of its home heating oil and propane customer base, during fiscal 2018. Gross customer gains were 700 less than the prior year’s comparable period, and gross customer losses were 9,800 accounts higher. Gross customer losses exceeded the prior year primarily due to the Company’s decision not to renew certain low margin accounts, along with increased losses due to credit and the price of home heating oil and propane.</w:t>
      </w:r>
    </w:p>
    <w:p>
      <w:pPr>
        <w:spacing w:after="0" w:line="72" w:lineRule="exact"/>
        <w:rPr>
          <w:sz w:val="20"/>
          <w:szCs w:val="20"/>
          <w:color w:val="auto"/>
        </w:rPr>
      </w:pPr>
    </w:p>
    <w:p>
      <w:pPr>
        <w:ind w:right="380" w:firstLine="589"/>
        <w:spacing w:after="0" w:line="266" w:lineRule="auto"/>
        <w:rPr>
          <w:sz w:val="20"/>
          <w:szCs w:val="20"/>
          <w:color w:val="auto"/>
        </w:rPr>
      </w:pPr>
      <w:r>
        <w:rPr>
          <w:rFonts w:ascii="Times New Roman" w:cs="Times New Roman" w:eastAsia="Times New Roman" w:hAnsi="Times New Roman"/>
          <w:sz w:val="18"/>
          <w:szCs w:val="18"/>
          <w:color w:val="auto"/>
        </w:rPr>
        <w:t>During fiscal 2020, we estimate that we lost (1.1%) of our home heating oil and propane accounts to natural gas conversions versus (1.4%) for fiscal 2019 and (1.3%) for fiscal 2018. Losses to natural gas in our footprint for the heating oil and propane industry could be greater or less than the Company’s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both"/>
        <w:ind w:right="440" w:firstLine="589"/>
        <w:spacing w:after="0" w:line="266" w:lineRule="auto"/>
        <w:rPr>
          <w:sz w:val="20"/>
          <w:szCs w:val="20"/>
          <w:color w:val="auto"/>
        </w:rPr>
      </w:pPr>
      <w:r>
        <w:rPr>
          <w:rFonts w:ascii="Times New Roman" w:cs="Times New Roman" w:eastAsia="Times New Roman" w:hAnsi="Times New Roman"/>
          <w:sz w:val="18"/>
          <w:szCs w:val="18"/>
          <w:color w:val="auto"/>
        </w:rPr>
        <w:t>The timing of acquisitions and the types of products sold by acquired companies impact year-over-year comparisons. During fiscal 2020 the Company acquired two heating oil dealers. During fiscal 2019 the Company completed three acquisitions. The following tables detail the Company’s acquisition activity and the associated volume sold during the 12-month period prior to the date of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 thousands of gallons)</w:t>
      </w:r>
    </w:p>
    <w:p>
      <w:pPr>
        <w:spacing w:after="0" w:line="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2020 Acquisitions</w:t>
      </w:r>
    </w:p>
    <w:tbl>
      <w:tblPr>
        <w:tblLayout w:type="fixed"/>
        <w:tblInd w:w="0" w:type="dxa"/>
        <w:tblCellMar>
          <w:top w:w="0" w:type="dxa"/>
          <w:left w:w="0" w:type="dxa"/>
          <w:bottom w:w="0" w:type="dxa"/>
          <w:right w:w="0" w:type="dxa"/>
        </w:tblCellMar>
      </w:tblPr>
      <w:tr>
        <w:trPr>
          <w:trHeight w:val="131"/>
        </w:trPr>
        <w:tc>
          <w:tcPr>
            <w:tcW w:w="1680" w:type="dxa"/>
            <w:vAlign w:val="bottom"/>
            <w:tcBorders>
              <w:top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Acquisition Number</w:t>
            </w:r>
          </w:p>
        </w:tc>
        <w:tc>
          <w:tcPr>
            <w:tcW w:w="226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 of Acquisition</w:t>
            </w:r>
          </w:p>
        </w:tc>
        <w:tc>
          <w:tcPr>
            <w:tcW w:w="24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248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Motor Fuel and Other Petroleum</w:t>
            </w:r>
          </w:p>
        </w:tc>
        <w:tc>
          <w:tcPr>
            <w:tcW w:w="2220" w:type="dxa"/>
            <w:vAlign w:val="bottom"/>
            <w:tcBorders>
              <w:top w:val="single" w:sz="8" w:color="auto"/>
            </w:tcBorders>
            <w:vMerge w:val="restart"/>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68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2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2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8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19"/>
                <w:szCs w:val="19"/>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40" w:type="dxa"/>
            <w:vAlign w:val="bottom"/>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gallons)</w:t>
            </w: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80" w:type="dxa"/>
            <w:vAlign w:val="bottom"/>
            <w:gridSpan w:val="3"/>
            <w:vMerge w:val="continue"/>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Fiscal 2019 Acquisitions</w:t>
            </w: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2"/>
            <w:vMerge w:val="continue"/>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Acquisition Number</w:t>
            </w:r>
          </w:p>
        </w:tc>
        <w:tc>
          <w:tcPr>
            <w:tcW w:w="2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 of Acquisition</w:t>
            </w:r>
          </w:p>
        </w:tc>
        <w:tc>
          <w:tcPr>
            <w:tcW w:w="2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2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Motor Fuel and Other Petroleum</w:t>
            </w:r>
          </w:p>
        </w:tc>
        <w:tc>
          <w:tcPr>
            <w:tcW w:w="234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68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2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8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9"/>
                <w:szCs w:val="19"/>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January (a)</w:t>
            </w:r>
          </w:p>
        </w:tc>
        <w:tc>
          <w:tcPr>
            <w:tcW w:w="2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tcBorders>
              <w:bottom w:val="single" w:sz="8" w:color="CFF0FC"/>
            </w:tcBorders>
          </w:tcPr>
          <w:p>
            <w:pPr>
              <w:jc w:val="center"/>
              <w:ind w:left="1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May</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40" w:type="dxa"/>
            <w:vAlign w:val="bottom"/>
            <w:tcBorders>
              <w:bottom w:val="single" w:sz="8" w:color="CFF0FC"/>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60" w:type="dxa"/>
            <w:vAlign w:val="bottom"/>
            <w:tcBorders>
              <w:bottom w:val="single" w:sz="8" w:color="CFF0FC"/>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4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6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4880" w:hanging="5532"/>
        <w:spacing w:after="0" w:line="409" w:lineRule="auto"/>
        <w:tabs>
          <w:tab w:leader="none" w:pos="93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acquired in January 2019 did not sell any petroleum products.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Sale of Propane Assets</w:t>
      </w:r>
    </w:p>
    <w:p>
      <w:pPr>
        <w:spacing w:after="0" w:line="121"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In October 2020 we sold propane assets, which included a customer list of approximately 12,300 customers, for $7.0 million. The following table details sales generated from the propane assets sold:</w:t>
      </w:r>
    </w:p>
    <w:p>
      <w:pPr>
        <w:spacing w:after="0" w:line="263"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vMerge w:val="restart"/>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gridSpan w:val="2"/>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Propane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Petroleum Products</w:t>
            </w:r>
          </w:p>
        </w:tc>
        <w:tc>
          <w:tcPr>
            <w:tcW w:w="1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Borders>
              <w:bottom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Installations and Services</w:t>
            </w: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The following matters should be considered in analyzing our financial results. The Company’s fiscal year ends on September 30. All references to quarters and years, respectively, in this document are to the fiscal quarters and fiscal years unless otherwise noted. The seasonal nature of our business has resulted, on average, during the last five years, in the sale of approximately 30% of the volume of home heating oil and propane in the first fiscal quarter and 50% of the volume in the second fiscal quarter, the peak heating season. Approximately 25% of the volume of motor fuel and other petroleum products is sold in each of the four fiscal quarters. We generally realize net income during the quarters ending December and March and net losses during the quarters ending June and September. In addition, sales volume typically fluctuates from year to year in response to variations in weather, wholesale energy prices and other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Degree Day</w:t>
      </w:r>
    </w:p>
    <w:p>
      <w:pPr>
        <w:spacing w:after="0" w:line="121" w:lineRule="exact"/>
        <w:rPr>
          <w:sz w:val="20"/>
          <w:szCs w:val="20"/>
          <w:color w:val="auto"/>
        </w:rPr>
      </w:pPr>
    </w:p>
    <w:p>
      <w:pPr>
        <w:ind w:right="180" w:firstLine="554"/>
        <w:spacing w:after="0" w:line="258" w:lineRule="auto"/>
        <w:rPr>
          <w:sz w:val="20"/>
          <w:szCs w:val="20"/>
          <w:color w:val="auto"/>
        </w:rPr>
      </w:pPr>
      <w:r>
        <w:rPr>
          <w:rFonts w:ascii="Times New Roman" w:cs="Times New Roman" w:eastAsia="Times New Roman" w:hAnsi="Times New Roman"/>
          <w:sz w:val="18"/>
          <w:szCs w:val="18"/>
          <w:color w:val="auto"/>
        </w:rPr>
        <w:t>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long-term (multi-year) average to see if a month or a year was warmer or cooler than usual. Degree days are officially observed by the National Weather Service.</w:t>
      </w:r>
    </w:p>
    <w:p>
      <w:pPr>
        <w:spacing w:after="0" w:line="183"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Every ten years, the National Oceanic and Atmospheric Administration (“NOAA”) computes and publishes average meteorological quantities, including the average temperature for the last 30 years by geographical location, and the corresponding degree days. The latest and most widely used data covers the years from 1981 to 2010. Our calculations of “normal” weather are based on these published 30-year averages for heating degree days, weighted by volume for the locations where we have existing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results of operations of the Company and its subsidiaries and should be read in conjunction with the historical financial and operating data and Notes thereto included elsewhere in this Annual Report.</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Fiscal Year Ended September 30, 2020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Compared to Fiscal Year Ended September 30, 2019</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121"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For fiscal 2020, the retail volume of home heating oil and propane sold decreased by 31.9 million gallons, or 9.2%, to 313.6 million gallons, compared to 345.5 million gallons for fiscal 2019. For those locations where we had existing operations during both periods, which we sometimes refer to as the “base business” (i.e., excluding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acquisitions), temperatures (measured on a heating degree day basis) for fiscal 2020 were 6.0% warmer than fiscal 2019 and 10.2% warmer than normal, as reported by NOAA. For fiscal 2020, net customer attrition for the base business was 3.4%.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w:t>
      </w:r>
    </w:p>
    <w:p>
      <w:pPr>
        <w:spacing w:after="0" w:line="285" w:lineRule="exact"/>
        <w:rPr>
          <w:sz w:val="20"/>
          <w:szCs w:val="20"/>
          <w:color w:val="auto"/>
        </w:rPr>
      </w:pPr>
    </w:p>
    <w:tbl>
      <w:tblPr>
        <w:tblLayout w:type="fixed"/>
        <w:tblInd w:w="2260" w:type="dxa"/>
        <w:tblCellMar>
          <w:top w:w="0" w:type="dxa"/>
          <w:left w:w="0" w:type="dxa"/>
          <w:bottom w:w="0" w:type="dxa"/>
          <w:right w:w="0" w:type="dxa"/>
        </w:tblCellMar>
      </w:tblPr>
      <w:tr>
        <w:trPr>
          <w:trHeight w:val="189"/>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gallons)</w:t>
            </w:r>
          </w:p>
        </w:tc>
        <w:tc>
          <w:tcPr>
            <w:tcW w:w="416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Heating Oil</w:t>
            </w:r>
          </w:p>
        </w:tc>
        <w:tc>
          <w:tcPr>
            <w:tcW w:w="0" w:type="dxa"/>
            <w:vAlign w:val="bottom"/>
          </w:tcPr>
          <w:p>
            <w:pPr>
              <w:spacing w:after="0"/>
              <w:rPr>
                <w:sz w:val="1"/>
                <w:szCs w:val="1"/>
                <w:color w:val="auto"/>
              </w:rPr>
            </w:pPr>
          </w:p>
        </w:tc>
      </w:tr>
      <w:tr>
        <w:trPr>
          <w:trHeight w:val="138"/>
        </w:trPr>
        <w:tc>
          <w:tcPr>
            <w:tcW w:w="1360" w:type="dxa"/>
            <w:vAlign w:val="bottom"/>
            <w:tcBorders>
              <w:bottom w:val="single" w:sz="8" w:color="auto"/>
            </w:tcBorders>
            <w:vMerge w:val="continue"/>
          </w:tcPr>
          <w:p>
            <w:pPr>
              <w:spacing w:after="0"/>
              <w:rPr>
                <w:sz w:val="11"/>
                <w:szCs w:val="11"/>
                <w:color w:val="auto"/>
              </w:rPr>
            </w:pPr>
          </w:p>
        </w:tc>
        <w:tc>
          <w:tcPr>
            <w:tcW w:w="4160" w:type="dxa"/>
            <w:vAlign w:val="bottom"/>
          </w:tcPr>
          <w:p>
            <w:pPr>
              <w:spacing w:after="0"/>
              <w:rPr>
                <w:sz w:val="11"/>
                <w:szCs w:val="11"/>
                <w:color w:val="auto"/>
              </w:rPr>
            </w:pPr>
          </w:p>
        </w:tc>
        <w:tc>
          <w:tcPr>
            <w:tcW w:w="1220" w:type="dxa"/>
            <w:vAlign w:val="bottom"/>
            <w:gridSpan w:val="2"/>
          </w:tcPr>
          <w:p>
            <w:pPr>
              <w:jc w:val="right"/>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and Propane</w:t>
            </w:r>
          </w:p>
        </w:tc>
        <w:tc>
          <w:tcPr>
            <w:tcW w:w="0" w:type="dxa"/>
            <w:vAlign w:val="bottom"/>
          </w:tcPr>
          <w:p>
            <w:pPr>
              <w:spacing w:after="0"/>
              <w:rPr>
                <w:sz w:val="1"/>
                <w:szCs w:val="1"/>
                <w:color w:val="auto"/>
              </w:rPr>
            </w:pPr>
          </w:p>
        </w:tc>
      </w:tr>
      <w:tr>
        <w:trPr>
          <w:trHeight w:val="61"/>
        </w:trPr>
        <w:tc>
          <w:tcPr>
            <w:tcW w:w="1360" w:type="dxa"/>
            <w:vAlign w:val="bottom"/>
            <w:tcBorders>
              <w:bottom w:val="single" w:sz="8" w:color="CFF0FC"/>
            </w:tcBorders>
          </w:tcPr>
          <w:p>
            <w:pPr>
              <w:spacing w:after="0"/>
              <w:rPr>
                <w:sz w:val="5"/>
                <w:szCs w:val="5"/>
                <w:color w:val="auto"/>
              </w:rPr>
            </w:pPr>
          </w:p>
        </w:tc>
        <w:tc>
          <w:tcPr>
            <w:tcW w:w="4160" w:type="dxa"/>
            <w:vAlign w:val="bottom"/>
            <w:tcBorders>
              <w:bottom w:val="single" w:sz="8" w:color="CFF0FC"/>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Fiscal 2019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customer attrition</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warmer temperatures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gridSpan w:val="2"/>
            <w:vMerge w:val="continue"/>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Fiscal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hanging="43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6.7 million gallons, 4.0 million gallons is a decline in lower margin commercial and bid volume.</w:t>
      </w:r>
    </w:p>
    <w:p>
      <w:pPr>
        <w:spacing w:after="0" w:line="225" w:lineRule="exact"/>
        <w:rPr>
          <w:sz w:val="20"/>
          <w:szCs w:val="20"/>
          <w:color w:val="auto"/>
        </w:rPr>
      </w:pPr>
    </w:p>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percentage by volume of total home heating oil sold to residential variable-price customers, residential price-protected customers, and commercial/industrial/other customers for fiscal 2020 compared to fiscal 2019:</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31"/>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Customers</w:t>
            </w:r>
          </w:p>
        </w:tc>
        <w:tc>
          <w:tcPr>
            <w:tcW w:w="4520" w:type="dxa"/>
            <w:vAlign w:val="bottom"/>
            <w:vMerge w:val="restart"/>
          </w:tcPr>
          <w:p>
            <w:pPr>
              <w:spacing w:after="0"/>
              <w:rPr>
                <w:sz w:val="11"/>
                <w:szCs w:val="11"/>
                <w:color w:val="auto"/>
              </w:rPr>
            </w:pPr>
          </w:p>
        </w:tc>
        <w:tc>
          <w:tcPr>
            <w:tcW w:w="1440" w:type="dxa"/>
            <w:vAlign w:val="bottom"/>
            <w:tcBorders>
              <w:top w:val="single" w:sz="8" w:color="auto"/>
            </w:tcBorders>
            <w:gridSpan w:val="2"/>
          </w:tcPr>
          <w:p>
            <w:pPr>
              <w:jc w:val="right"/>
              <w:ind w:right="39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top w:val="single" w:sz="8" w:color="auto"/>
            </w:tcBorders>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060" w:type="dxa"/>
            <w:vAlign w:val="bottom"/>
          </w:tcPr>
          <w:p>
            <w:pPr>
              <w:jc w:val="right"/>
              <w:ind w:right="318"/>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5"/>
                <w:szCs w:val="15"/>
                <w:color w:val="auto"/>
              </w:rPr>
            </w:pPr>
          </w:p>
        </w:tc>
        <w:tc>
          <w:tcPr>
            <w:tcW w:w="106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Variable</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tcBorders>
              <w:top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Price-Protected (Ceiling and Fixed Price)</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Commercial/Industrial/Other</w:t>
            </w:r>
          </w:p>
        </w:tc>
        <w:tc>
          <w:tcPr>
            <w:tcW w:w="1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gridSpan w:val="2"/>
            <w:vMerge w:val="continue"/>
          </w:tcPr>
          <w:p>
            <w:pPr>
              <w:spacing w:after="0"/>
              <w:rPr>
                <w:sz w:val="19"/>
                <w:szCs w:val="19"/>
                <w:color w:val="auto"/>
              </w:rPr>
            </w:pP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Volume of motor fuel and other petroleum products sold decreased by 15.6 million gallons, or 9.3%, to 151.8 million gallons for fiscal 2020, compared to 167.4 million gallons for fiscal 2019, as the additional volume provided by acquisitions of 9.2 million gallons was reduced by lower wholesale volume sales (2.1 million gallons) due to the warmer weather and lower volume sales of motor fuels (22.7 million gallons) resulting from COVID-19’s impact on economic activity and the loss of certain accounts. We believe that the decline in motor fuel sales may continue in the near term.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121" w:lineRule="exact"/>
        <w:rPr>
          <w:sz w:val="20"/>
          <w:szCs w:val="20"/>
          <w:color w:val="auto"/>
        </w:rPr>
      </w:pPr>
    </w:p>
    <w:p>
      <w:pPr>
        <w:ind w:right="220" w:firstLine="555"/>
        <w:spacing w:after="0" w:line="282" w:lineRule="auto"/>
        <w:rPr>
          <w:sz w:val="20"/>
          <w:szCs w:val="20"/>
          <w:color w:val="auto"/>
        </w:rPr>
      </w:pPr>
      <w:r>
        <w:rPr>
          <w:rFonts w:ascii="Times New Roman" w:cs="Times New Roman" w:eastAsia="Times New Roman" w:hAnsi="Times New Roman"/>
          <w:sz w:val="18"/>
          <w:szCs w:val="18"/>
          <w:color w:val="auto"/>
        </w:rPr>
        <w:t>For fiscal 2020, product sales decreased $0.3 billion, or 19.1%, to $1.2 billion, compared to $1.5 billion in fiscal 2019, reflecting a decrease in in wholesale product cost of $0.3597 per gallon, or 18.5%, and a decrease in total volume sold of 9.3%.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Installations and Services Sales</w:t>
      </w:r>
    </w:p>
    <w:p>
      <w:pPr>
        <w:spacing w:after="0" w:line="121" w:lineRule="exact"/>
        <w:rPr>
          <w:sz w:val="20"/>
          <w:szCs w:val="20"/>
          <w:color w:val="auto"/>
        </w:rPr>
      </w:pPr>
    </w:p>
    <w:p>
      <w:pPr>
        <w:ind w:right="40" w:firstLine="555"/>
        <w:spacing w:after="0" w:line="258" w:lineRule="auto"/>
        <w:rPr>
          <w:sz w:val="20"/>
          <w:szCs w:val="20"/>
          <w:color w:val="auto"/>
        </w:rPr>
      </w:pPr>
      <w:r>
        <w:rPr>
          <w:rFonts w:ascii="Times New Roman" w:cs="Times New Roman" w:eastAsia="Times New Roman" w:hAnsi="Times New Roman"/>
          <w:sz w:val="18"/>
          <w:szCs w:val="18"/>
          <w:color w:val="auto"/>
        </w:rPr>
        <w:t>For fiscal 2020, installation and service sales decreased $6.4 million, or 2.2%, to $281.4 million, compared to $287.8 million for fiscal 2019 as the additional revenue provided from acquisitions of $10.3 million was reduced by lower revenue in the base business of $16.7 million. In the base business, service and installation sales declined due to net customer attrition and the impact of warmer weather experienced during 2019-2020 heating season, which reduced billable service revenue and the need for the installation of new equipment. During the third quarter of fiscal 2020 we ceased making non-emergency service calls that would have been performed under normal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ind w:right="160"/>
        <w:spacing w:after="0" w:line="266" w:lineRule="auto"/>
        <w:rPr>
          <w:sz w:val="20"/>
          <w:szCs w:val="20"/>
          <w:color w:val="auto"/>
        </w:rPr>
      </w:pPr>
      <w:r>
        <w:rPr>
          <w:rFonts w:ascii="Times New Roman" w:cs="Times New Roman" w:eastAsia="Times New Roman" w:hAnsi="Times New Roman"/>
          <w:sz w:val="18"/>
          <w:szCs w:val="18"/>
          <w:color w:val="auto"/>
        </w:rPr>
        <w:t>conditions due to COVID-19 and a portion of these service calls were completed in the fourth quarter of fiscal 2020. In addition, we believe that some of our customers have deferred non-emergency services, including the installation of new equipment due to COVID-19, which has caused a decline in equipment installation sales and reactive service calls and may continue to reduce future service and installation income.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w:t>
      </w:r>
    </w:p>
    <w:p>
      <w:pPr>
        <w:spacing w:after="0" w:line="121" w:lineRule="exact"/>
        <w:rPr>
          <w:sz w:val="20"/>
          <w:szCs w:val="20"/>
          <w:color w:val="auto"/>
        </w:rPr>
      </w:pPr>
    </w:p>
    <w:p>
      <w:pPr>
        <w:ind w:right="620" w:firstLine="555"/>
        <w:spacing w:after="0" w:line="282" w:lineRule="auto"/>
        <w:rPr>
          <w:sz w:val="20"/>
          <w:szCs w:val="20"/>
          <w:color w:val="auto"/>
        </w:rPr>
      </w:pPr>
      <w:r>
        <w:rPr>
          <w:rFonts w:ascii="Times New Roman" w:cs="Times New Roman" w:eastAsia="Times New Roman" w:hAnsi="Times New Roman"/>
          <w:sz w:val="18"/>
          <w:szCs w:val="18"/>
          <w:color w:val="auto"/>
        </w:rPr>
        <w:t>For fiscal 2020, cost of product decreased $259.9 million, or 26.0%, to $738.7 million, compared to $998.6 million for fiscal 2019, due to a decrease in wholesale product costs of $0.3597 per gallon, or 18.5% and a decrease in total volume sold of 9.3%.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Profit—Product</w:t>
      </w:r>
    </w:p>
    <w:p>
      <w:pPr>
        <w:spacing w:after="0" w:line="121" w:lineRule="exact"/>
        <w:rPr>
          <w:sz w:val="20"/>
          <w:szCs w:val="20"/>
          <w:color w:val="auto"/>
        </w:rPr>
      </w:pPr>
    </w:p>
    <w:p>
      <w:pPr>
        <w:ind w:firstLine="554"/>
        <w:spacing w:after="0" w:line="255" w:lineRule="auto"/>
        <w:rPr>
          <w:sz w:val="20"/>
          <w:szCs w:val="20"/>
          <w:color w:val="auto"/>
        </w:rPr>
      </w:pPr>
      <w:r>
        <w:rPr>
          <w:rFonts w:ascii="Times New Roman" w:cs="Times New Roman" w:eastAsia="Times New Roman" w:hAnsi="Times New Roman"/>
          <w:sz w:val="18"/>
          <w:szCs w:val="18"/>
          <w:color w:val="auto"/>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 On that basis, home heating oil and propane margins for fiscal 2020 increased by $0.0655 per gallon, or 5.3%, to $1.2956 per gallon, from $1.2301 per gallon during fiscal 2019. We cannot assume that the per gallon margins realized during fiscal 2020 are sustainable for future periods. Product sales and cost of product include home heating oil, propane, motor fuel, other petroleum products and liquidated damages billings.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3"/>
                <w:szCs w:val="13"/>
                <w:color w:val="auto"/>
              </w:rPr>
            </w:pPr>
          </w:p>
        </w:tc>
        <w:tc>
          <w:tcPr>
            <w:tcW w:w="2180" w:type="dxa"/>
            <w:vAlign w:val="bottom"/>
            <w:gridSpan w:val="4"/>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3260" w:type="dxa"/>
            <w:vAlign w:val="bottom"/>
            <w:gridSpan w:val="2"/>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Per</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40" w:type="dxa"/>
            <w:vAlign w:val="bottom"/>
            <w:tcBorders>
              <w:bottom w:val="single" w:sz="8" w:color="auto"/>
            </w:tcBorders>
            <w:gridSpan w:val="2"/>
            <w:vMerge w:val="continue"/>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Gallon</w:t>
            </w:r>
          </w:p>
        </w:tc>
        <w:tc>
          <w:tcPr>
            <w:tcW w:w="120" w:type="dxa"/>
            <w:vAlign w:val="bottom"/>
          </w:tcPr>
          <w:p>
            <w:pPr>
              <w:spacing w:after="0"/>
              <w:rPr>
                <w:sz w:val="15"/>
                <w:szCs w:val="15"/>
                <w:color w:val="auto"/>
              </w:rPr>
            </w:pPr>
          </w:p>
        </w:tc>
        <w:tc>
          <w:tcPr>
            <w:tcW w:w="92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Gallon</w:t>
            </w:r>
          </w:p>
        </w:tc>
        <w:tc>
          <w:tcPr>
            <w:tcW w:w="0" w:type="dxa"/>
            <w:vAlign w:val="bottom"/>
          </w:tcPr>
          <w:p>
            <w:pPr>
              <w:spacing w:after="0"/>
              <w:rPr>
                <w:sz w:val="1"/>
                <w:szCs w:val="1"/>
                <w:color w:val="auto"/>
              </w:rPr>
            </w:pPr>
          </w:p>
        </w:tc>
      </w:tr>
      <w:tr>
        <w:trPr>
          <w:trHeight w:val="217"/>
        </w:trPr>
        <w:tc>
          <w:tcPr>
            <w:tcW w:w="520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9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2.9479</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4"/>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4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4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Motor Fuel and Other Petroleum Products</w:t>
            </w:r>
          </w:p>
        </w:tc>
        <w:tc>
          <w:tcPr>
            <w:tcW w:w="120" w:type="dxa"/>
            <w:vAlign w:val="bottom"/>
          </w:tcPr>
          <w:p>
            <w:pPr>
              <w:spacing w:after="0"/>
              <w:rPr>
                <w:sz w:val="24"/>
                <w:szCs w:val="2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w:t>
            </w:r>
          </w:p>
        </w:tc>
        <w:tc>
          <w:tcPr>
            <w:tcW w:w="120" w:type="dxa"/>
            <w:vAlign w:val="bottom"/>
          </w:tcPr>
          <w:p>
            <w:pPr>
              <w:spacing w:after="0"/>
              <w:rPr>
                <w:sz w:val="24"/>
                <w:szCs w:val="24"/>
                <w:color w:val="auto"/>
              </w:rPr>
            </w:pP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0" w:type="dxa"/>
            <w:vAlign w:val="bottom"/>
          </w:tcPr>
          <w:p>
            <w:pPr>
              <w:spacing w:after="0"/>
              <w:rPr>
                <w:sz w:val="1"/>
                <w:szCs w:val="1"/>
                <w:color w:val="auto"/>
              </w:rPr>
            </w:pPr>
          </w:p>
        </w:tc>
      </w:tr>
      <w:tr>
        <w:trPr>
          <w:trHeight w:val="180"/>
        </w:trPr>
        <w:tc>
          <w:tcPr>
            <w:tcW w:w="52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Gallon</w:t>
            </w:r>
          </w:p>
        </w:tc>
        <w:tc>
          <w:tcPr>
            <w:tcW w:w="120" w:type="dxa"/>
            <w:vAlign w:val="bottom"/>
          </w:tcPr>
          <w:p>
            <w:pPr>
              <w:spacing w:after="0"/>
              <w:rPr>
                <w:sz w:val="15"/>
                <w:szCs w:val="15"/>
                <w:color w:val="auto"/>
              </w:rPr>
            </w:pPr>
          </w:p>
        </w:tc>
        <w:tc>
          <w:tcPr>
            <w:tcW w:w="92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Gallon</w:t>
            </w:r>
          </w:p>
        </w:tc>
        <w:tc>
          <w:tcPr>
            <w:tcW w:w="0" w:type="dxa"/>
            <w:vAlign w:val="bottom"/>
          </w:tcPr>
          <w:p>
            <w:pPr>
              <w:spacing w:after="0"/>
              <w:rPr>
                <w:sz w:val="1"/>
                <w:szCs w:val="1"/>
                <w:color w:val="auto"/>
              </w:rPr>
            </w:pPr>
          </w:p>
        </w:tc>
      </w:tr>
      <w:tr>
        <w:trPr>
          <w:trHeight w:val="216"/>
        </w:trPr>
        <w:tc>
          <w:tcPr>
            <w:tcW w:w="2620" w:type="dxa"/>
            <w:vAlign w:val="bottom"/>
            <w:tcBorders>
              <w:top w:val="single" w:sz="8" w:color="auto"/>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25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4"/>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4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4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0.2704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Total Product</w:t>
            </w:r>
          </w:p>
        </w:tc>
        <w:tc>
          <w:tcPr>
            <w:tcW w:w="4360" w:type="dxa"/>
            <w:vAlign w:val="bottom"/>
            <w:gridSpan w:val="3"/>
            <w:vMerge w:val="restart"/>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4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0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1,466.1</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60" w:firstLine="555"/>
        <w:spacing w:after="0" w:line="266" w:lineRule="auto"/>
        <w:rPr>
          <w:sz w:val="20"/>
          <w:szCs w:val="20"/>
          <w:color w:val="auto"/>
        </w:rPr>
      </w:pPr>
      <w:r>
        <w:rPr>
          <w:rFonts w:ascii="Times New Roman" w:cs="Times New Roman" w:eastAsia="Times New Roman" w:hAnsi="Times New Roman"/>
          <w:sz w:val="18"/>
          <w:szCs w:val="18"/>
          <w:color w:val="auto"/>
        </w:rPr>
        <w:t>For fiscal 2020, total product gross profit was $447.3 million, which was $20.2 million, or 4.3%, less than fiscal 2019, as a decrease in home heating oil and propane volume ($39.2 million) and in gross profit from motor fuel and other petroleum products ($1.5 million) was slightly offset by higher margins ($20.5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Installations and Services</w:t>
      </w:r>
    </w:p>
    <w:p>
      <w:pPr>
        <w:spacing w:after="0" w:line="121" w:lineRule="exact"/>
        <w:rPr>
          <w:sz w:val="20"/>
          <w:szCs w:val="20"/>
          <w:color w:val="auto"/>
        </w:rPr>
      </w:pPr>
    </w:p>
    <w:p>
      <w:pPr>
        <w:ind w:right="260" w:firstLine="555"/>
        <w:spacing w:after="0" w:line="282" w:lineRule="auto"/>
        <w:rPr>
          <w:sz w:val="20"/>
          <w:szCs w:val="20"/>
          <w:color w:val="auto"/>
        </w:rPr>
      </w:pPr>
      <w:r>
        <w:rPr>
          <w:rFonts w:ascii="Times New Roman" w:cs="Times New Roman" w:eastAsia="Times New Roman" w:hAnsi="Times New Roman"/>
          <w:sz w:val="18"/>
          <w:szCs w:val="18"/>
          <w:color w:val="auto"/>
        </w:rPr>
        <w:t>Total installation costs for fiscal 2020 decreased to $83.8 million, compared to $84.2 million for fiscal 2019. Installation costs as a percentage of installation sales for fiscal 2020 and fiscal 2019, were 82.4% and 82.8%,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8" w:name="page39"/>
    <w:bookmarkEnd w:id="38"/>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Service expense decreased by $13.5 million, or 7.4%, to $169.9 million for fiscal 2020, representing 94.5% of service sales, versus $183.4 million, or 98.5% of service sales, for fiscal 2019. We realized a combined gross profit from services and installations of $27.7 million for fiscal 2020 compared to a combined gross profit of $20.2 million for fiscal 2019, a $7.5 million improvement in profitability. Acquisitions positively impacted the comparison by $2.2 million and in the base business, service gross profit improved by $5.3 million due to warmer temperatures of 6.0% which reduced the demand for service, and certain measures undertaken by the company to improve operating efficiency. In the base business, both service revenue and expenses declined due to the impact of COVID-19 during the third quarter of fiscal 2020; however, the decline in service expense was greater than the decline in revenue. A portion of the expense decline related to service work that would normally have been performed during the third quarter of fiscal 2020, but was performed in the fourth quarter of fiscal 2020. We believe such service work may be performed in future periods and related expenses will be incurred in those periods. Management views the service and installation department on a combined basis because many overhead functions cannot be separated or precisely allocated to either service or installation billings.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 in the Fair Value of Derivative Instruments</w:t>
      </w:r>
    </w:p>
    <w:p>
      <w:pPr>
        <w:spacing w:after="0" w:line="121" w:lineRule="exact"/>
        <w:rPr>
          <w:sz w:val="20"/>
          <w:szCs w:val="20"/>
          <w:color w:val="auto"/>
        </w:rPr>
      </w:pPr>
    </w:p>
    <w:p>
      <w:pPr>
        <w:ind w:right="60" w:firstLine="555"/>
        <w:spacing w:after="0" w:line="282" w:lineRule="auto"/>
        <w:rPr>
          <w:sz w:val="20"/>
          <w:szCs w:val="20"/>
          <w:color w:val="auto"/>
        </w:rPr>
      </w:pPr>
      <w:r>
        <w:rPr>
          <w:rFonts w:ascii="Times New Roman" w:cs="Times New Roman" w:eastAsia="Times New Roman" w:hAnsi="Times New Roman"/>
          <w:sz w:val="18"/>
          <w:szCs w:val="18"/>
          <w:color w:val="auto"/>
        </w:rPr>
        <w:t>During fiscal 2020, the change in the fair value of derivative instruments resulted in a $2.8 million charge due to a decrease in the market value for unexpired hedges (a $12.2 million charge) and partially offset by a $9.4 million credit due to the expiration of certain hedged positions.</w:t>
      </w:r>
    </w:p>
    <w:p>
      <w:pPr>
        <w:spacing w:after="0" w:line="162"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During fiscal 2019, the change in the fair value of derivative instruments resulted in a $25.1 million charge due to a decrease in the market value for unexpired hedges ($10.6 million) and a $14.5 million charge due to the expiration of certain hedged positions.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Branch Expenses</w:t>
      </w:r>
    </w:p>
    <w:p>
      <w:pPr>
        <w:spacing w:after="0" w:line="121" w:lineRule="exact"/>
        <w:rPr>
          <w:sz w:val="20"/>
          <w:szCs w:val="20"/>
          <w:color w:val="auto"/>
        </w:rPr>
      </w:pPr>
    </w:p>
    <w:p>
      <w:pPr>
        <w:ind w:firstLine="555"/>
        <w:spacing w:after="0" w:line="253" w:lineRule="auto"/>
        <w:rPr>
          <w:sz w:val="20"/>
          <w:szCs w:val="20"/>
          <w:color w:val="auto"/>
        </w:rPr>
      </w:pPr>
      <w:r>
        <w:rPr>
          <w:rFonts w:ascii="Times New Roman" w:cs="Times New Roman" w:eastAsia="Times New Roman" w:hAnsi="Times New Roman"/>
          <w:sz w:val="18"/>
          <w:szCs w:val="18"/>
          <w:color w:val="auto"/>
        </w:rPr>
        <w:t>For fiscal 2020, delivery and branch expenses decreased $45.6 million, or 12.4%, to $323.4 million, compared to $369.0 million for fiscal 2019, as additional costs from acquisitions of $9.7 million were more than offset by a $55.3 million, or 15.0%, decrease in expenses within the base business. The decline in the base business was attributable to a $10.5 million, or 9.9%, reduction in direct delivery costs due to lower volume, lower insurance expense of $9.5 million, lower bad debt expense and credit card processing fees of $6.2 million, lower medical cost of $3.9 million, a $3.8 million decrease in expenses related to the Company’s concierge level of service program (which was greatly curtailed in January 2019), and other reductions in operating costs totaling $9.2 million, or 2.5%, as we continue to improve Star’s operating efficiency. Operating expenses were also reduced by $12.2 million due to the impact of our weather hedging program. As of September 30, 2019 we recorded a charge of $2.1 million, versus a benefit of $10.1 million as of September 30, 2020. Bad debt expense was lower due to the decline in sales dollars, and insurance expense was lower due in part to the warm weather for fiscal 2020 and its impact on claim experience. We believe that medical claims were lower due to COVID-19 “sheltering in place” and “stay at home” orders, which curtailed plan members seeking medical attention.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For fiscal 2020, depreciation and amortization expense increased $1.7 million, or 5.2%, to $34.6 million, compared to $32.9 million for fiscal 2019, largely due to acquisitions.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firstLine="555"/>
        <w:spacing w:after="0" w:line="256" w:lineRule="auto"/>
        <w:rPr>
          <w:sz w:val="20"/>
          <w:szCs w:val="20"/>
          <w:color w:val="auto"/>
        </w:rPr>
      </w:pPr>
      <w:r>
        <w:rPr>
          <w:rFonts w:ascii="Times New Roman" w:cs="Times New Roman" w:eastAsia="Times New Roman" w:hAnsi="Times New Roman"/>
          <w:sz w:val="18"/>
          <w:szCs w:val="18"/>
          <w:color w:val="auto"/>
        </w:rPr>
        <w:t>For fiscal 2020, general and administrative expenses decreased by $3.3 million or 11.8%, to $25.1 million, from $28.4 million for fiscal 2019, primarily due to lower legal and professional expenses of $4.6 million, a $1.5 million charge related to the discontinued use of a tank monitoring system that occurred during fiscal 2019 (and did not recur in the current fiscal year), and other savings of $0.1 million, partially offset by a $2.9 million increase in profit sharing expense. The Company accrues approximately 6.0% of Adjusted EBITDA as defined in its profit sharing plan for distribution to its employees, and this amount is payable when the Company achieves Adjusted EBITDA of at least 70% of the amount budgeted. The dollar amount of the profit sharing pool is subject to increases and decreases corresponding to increases and decreases in Adjusted EBITDA.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Finance Charge Income</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For fiscal 2020, finance charge income decreased by $1.3 million, or 26.1%, to $3.8 million compared to $5.1 million for fiscal 2019, primarily due to lower customer late payment charges due to improved collections and lower sales volume at lower selling prices.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right="280" w:firstLine="589"/>
        <w:spacing w:after="0" w:line="261" w:lineRule="auto"/>
        <w:rPr>
          <w:sz w:val="20"/>
          <w:szCs w:val="20"/>
          <w:color w:val="auto"/>
        </w:rPr>
      </w:pPr>
      <w:r>
        <w:rPr>
          <w:rFonts w:ascii="Times New Roman" w:cs="Times New Roman" w:eastAsia="Times New Roman" w:hAnsi="Times New Roman"/>
          <w:sz w:val="18"/>
          <w:szCs w:val="18"/>
          <w:color w:val="auto"/>
        </w:rPr>
        <w:t>For fiscal 2020, net interest expense decreased by $1.5 million, or 13.1%, to $9.7 million compared to $11.2 million for fiscal 2019. The change year-over-year reflects a decrease in average borrowings of $13.1 million from $175.8 million for fiscal 2019 to $162.7 million for fiscal 2020, and a decrease in the weighted average interest rate from 5.3% for 2019 to 4.9% for fiscal 2020. To hedge against rising interest rates, the Company utilizes interest rate swaps. At September 30, 2020, $64.0 million, or 52%, of our long term debt, was fixed. Interest income remained unchanged.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Debt Issuance Costs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fiscal 2020, amortization of debt issuance costs was $1.0 million, unchanged from fiscal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 Net</w:t>
      </w:r>
    </w:p>
    <w:p>
      <w:pPr>
        <w:spacing w:after="0" w:line="121"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In the fourth quarter of fiscal year 2020, we reclassified certain propane assets to assets held for sale on our consolidated balance sheet that were sold in October 2020. As a result, we recorded an impairment charge of $5.7 million, which represents the difference between the fair value less cost to sell and the carrying value of the assets. See Note 2 to our Consolidated Financial Statements of this Form 10-K for additional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right="40" w:firstLine="589"/>
        <w:spacing w:after="0" w:line="266" w:lineRule="auto"/>
        <w:rPr>
          <w:sz w:val="20"/>
          <w:szCs w:val="20"/>
          <w:color w:val="auto"/>
        </w:rPr>
      </w:pPr>
      <w:r>
        <w:rPr>
          <w:rFonts w:ascii="Times New Roman" w:cs="Times New Roman" w:eastAsia="Times New Roman" w:hAnsi="Times New Roman"/>
          <w:sz w:val="18"/>
          <w:szCs w:val="18"/>
          <w:color w:val="auto"/>
        </w:rPr>
        <w:t>For fiscal 2020, the Company’s income tax expense increased by $13.1 million to $20.6 million, from $7.5 million for fiscal 2019, due primarily to an increase in income before income taxes of $ 51.4 million, primarily due an increase in Adjusted EBITDA of $35.0 million and a $22.4 million non-cash favorable change in the fair market value of derivative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jc w:val="both"/>
        <w:ind w:right="180" w:firstLine="633"/>
        <w:spacing w:after="0" w:line="266" w:lineRule="auto"/>
        <w:rPr>
          <w:sz w:val="20"/>
          <w:szCs w:val="20"/>
          <w:color w:val="auto"/>
        </w:rPr>
      </w:pPr>
      <w:r>
        <w:rPr>
          <w:rFonts w:ascii="Times New Roman" w:cs="Times New Roman" w:eastAsia="Times New Roman" w:hAnsi="Times New Roman"/>
          <w:sz w:val="18"/>
          <w:szCs w:val="18"/>
          <w:color w:val="auto"/>
        </w:rPr>
        <w:t>For fiscal 2020, net income increased $38.3 million, or 217.1%, to $55.9 million due primarily to a $35.0 million increase in Adjusted EBITDA, described below, and a favorable change in the fair value of derivative instruments of $22.4 million, partially offset by a $13.1 million increase in income tax expense, and a $5.7 million loss on certain propane assets held for sale.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00" w:firstLine="633"/>
        <w:spacing w:after="0" w:line="254" w:lineRule="auto"/>
        <w:rPr>
          <w:sz w:val="20"/>
          <w:szCs w:val="20"/>
          <w:color w:val="auto"/>
        </w:rPr>
      </w:pPr>
      <w:r>
        <w:rPr>
          <w:rFonts w:ascii="Times New Roman" w:cs="Times New Roman" w:eastAsia="Times New Roman" w:hAnsi="Times New Roman"/>
          <w:sz w:val="18"/>
          <w:szCs w:val="18"/>
          <w:color w:val="auto"/>
        </w:rPr>
        <w:t>For fiscal 2020, Adjusted EBITDA increased by $35.0 million, or 36.7%, to $130.3 million compared to fiscal 2019. Acquisitions provided $9.3 million of Adjusted EBITDA, while Adjusted EBITDA in the base business increased by $25.7 million. In the base business, the impact of higher per gallon home heating oil and propane margins of 6.6 cents per gallon, lower operating expenses of $46.4 million, a favorable change in the impact from the Company’s weather hedge of $12.2 million, and an improvement in net service and installation profitability of $5.3 million more than offset the impact from a decrease in volume of home heating oil and propane sold and the decline in Star’s motor fuel business. With regard to the Company’s weather hedge, warmer temperatures during the fiscal 2020 winter hedge period resulted in lower degree days and, per the terms of Star’s weather hedge contracts, the collection of $10.1 million. By contrast, the third quarter of fiscal 2020 was colder than normal and resulted in the Company selling more volume than anticipated. If the additional degree days in the third quarter had occurred during the period covered by the weather hedge (i.e., November through March) the payout would have been less than $2.0 million.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0" w:name="page41"/>
    <w:bookmarkEnd w:id="40"/>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EBITDA and Adjusted EBITDA should not be considered as an alternative to net income (as an indicator of operating performance) or as an alternative to cash flow (as a measure of liquidity or ability to service debt obligations), but provide additional information for evaluating the Company’s ability to make the Minimum Quarterly Distribution.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EBITDA and Adjusted EBITDA are calculated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4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0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3820" w:type="dxa"/>
            <w:vAlign w:val="bottom"/>
            <w:tcBorders>
              <w:top w:val="single" w:sz="8" w:color="CFF0FC"/>
            </w:tcBorders>
            <w:gridSpan w:val="2"/>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55,918</w:t>
            </w: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Plus: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34,623</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(a)</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121,867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 decrease in the fair value of derivative instruments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Adjusted EBITDA (a)</w:t>
            </w:r>
          </w:p>
        </w:tc>
        <w:tc>
          <w:tcPr>
            <w:tcW w:w="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130,346</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Add / (subtract)</w:t>
            </w:r>
          </w:p>
        </w:tc>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(20,625)</w:t>
            </w:r>
          </w:p>
        </w:tc>
        <w:tc>
          <w:tcPr>
            <w:tcW w:w="36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(7,517)</w:t>
            </w:r>
          </w:p>
        </w:tc>
        <w:tc>
          <w:tcPr>
            <w:tcW w:w="0" w:type="dxa"/>
            <w:vAlign w:val="bottom"/>
          </w:tcPr>
          <w:p>
            <w:pPr>
              <w:spacing w:after="0"/>
              <w:rPr>
                <w:sz w:val="1"/>
                <w:szCs w:val="1"/>
                <w:color w:val="auto"/>
              </w:rPr>
            </w:pPr>
          </w:p>
        </w:tc>
      </w:tr>
      <w:tr>
        <w:trPr>
          <w:trHeight w:val="204"/>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(9,702)</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 receivables</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34,366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Decrease (increase) in inventories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customer credit balances</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 in deferred taxes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(3,544)</w:t>
            </w: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60" w:type="dxa"/>
            <w:vAlign w:val="bottom"/>
          </w:tcPr>
          <w:p>
            <w:pPr>
              <w:spacing w:after="0"/>
              <w:rPr>
                <w:sz w:val="21"/>
                <w:szCs w:val="21"/>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175,668</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(28,141)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(95,515)</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line="258"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w:t>
      </w:r>
    </w:p>
    <w:p>
      <w:pPr>
        <w:spacing w:after="0" w:line="75"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financial covenants included in our debt agreements;</w:t>
      </w:r>
    </w:p>
    <w:p>
      <w:pPr>
        <w:spacing w:after="0" w:line="117"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without regard to financing methods, capital structure, income taxes or historical cost basis;</w:t>
      </w:r>
    </w:p>
    <w:p>
      <w:pPr>
        <w:spacing w:after="0" w:line="117" w:lineRule="exact"/>
        <w:rPr>
          <w:rFonts w:ascii="Times New Roman" w:cs="Times New Roman" w:eastAsia="Times New Roman" w:hAnsi="Times New Roman"/>
          <w:sz w:val="18"/>
          <w:szCs w:val="18"/>
          <w:color w:val="auto"/>
        </w:rPr>
      </w:pPr>
    </w:p>
    <w:p>
      <w:pPr>
        <w:ind w:left="1620" w:right="240" w:hanging="438"/>
        <w:spacing w:after="0" w:line="282" w:lineRule="auto"/>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invested capital compared to those of other companies in the retail distribution of refined petroleum products, without regard to financing methods and capital structure;</w:t>
      </w:r>
    </w:p>
    <w:p>
      <w:pPr>
        <w:spacing w:after="0" w:line="26"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sufficient to pay interest on our indebtedness and to make distributions to our partners; and</w:t>
      </w:r>
    </w:p>
    <w:p>
      <w:pPr>
        <w:spacing w:after="0" w:line="117" w:lineRule="exact"/>
        <w:rPr>
          <w:rFonts w:ascii="Times New Roman" w:cs="Times New Roman" w:eastAsia="Times New Roman" w:hAnsi="Times New Roman"/>
          <w:sz w:val="18"/>
          <w:szCs w:val="18"/>
          <w:color w:val="auto"/>
        </w:rPr>
      </w:pPr>
    </w:p>
    <w:p>
      <w:pPr>
        <w:ind w:left="1620" w:hanging="438"/>
        <w:spacing w:after="0"/>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capital expenditure projects and the overall rates of return of alternative investment opportunities.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The method of calculating Adjusted EBITDA may not be consistent with that of other companies, and EBITDA and Adjusted EBITDA both have limitations as analytical tools and so should not be viewed in isolation and should be viewed in conjunction with measurements that are computed in accordance with GAAP. Some of the limitations of EBITDA and Adjusted EBITDA are:</w:t>
      </w:r>
    </w:p>
    <w:p>
      <w:pPr>
        <w:spacing w:after="0" w:line="68" w:lineRule="exact"/>
        <w:rPr>
          <w:sz w:val="20"/>
          <w:szCs w:val="20"/>
          <w:color w:val="auto"/>
        </w:rPr>
      </w:pPr>
    </w:p>
    <w:p>
      <w:pPr>
        <w:ind w:left="1020" w:hanging="43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used for capital expenditures;</w:t>
      </w:r>
    </w:p>
    <w:p>
      <w:pPr>
        <w:spacing w:after="0" w:line="117" w:lineRule="exact"/>
        <w:rPr>
          <w:rFonts w:ascii="Times New Roman" w:cs="Times New Roman" w:eastAsia="Times New Roman" w:hAnsi="Times New Roman"/>
          <w:sz w:val="18"/>
          <w:szCs w:val="18"/>
          <w:color w:val="auto"/>
        </w:rPr>
      </w:pPr>
    </w:p>
    <w:p>
      <w:pPr>
        <w:ind w:left="1020" w:right="240" w:hanging="43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53"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necessary to make payments of interest or principal on our indebtedness;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required to pay taxes.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September 30, 2019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Compared to Fiscal Year Ended September 30, 2018</w:t>
      </w:r>
    </w:p>
    <w:p>
      <w:pPr>
        <w:spacing w:after="0" w:line="207" w:lineRule="exact"/>
        <w:rPr>
          <w:sz w:val="20"/>
          <w:szCs w:val="20"/>
          <w:color w:val="auto"/>
        </w:rPr>
      </w:pPr>
    </w:p>
    <w:p>
      <w:pPr>
        <w:ind w:right="380" w:firstLine="589"/>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within the Form 10-K for the fiscal year ended September 30, 2019 for the fiscal 2018 to fiscal 2019 comparative discussion.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21"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We use the indirect method to prepare our Consolidated Statements of Cash Flows. Under this method, we reconcile net income to cash flows provided by operating activities by adjusting net income for those items that impact net income but do not result in actual cash receipts or payment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ind w:right="40" w:firstLine="555"/>
        <w:spacing w:after="0" w:line="266" w:lineRule="auto"/>
        <w:rPr>
          <w:sz w:val="20"/>
          <w:szCs w:val="20"/>
          <w:color w:val="auto"/>
        </w:rPr>
      </w:pPr>
      <w:r>
        <w:rPr>
          <w:rFonts w:ascii="Times New Roman" w:cs="Times New Roman" w:eastAsia="Times New Roman" w:hAnsi="Times New Roman"/>
          <w:sz w:val="18"/>
          <w:szCs w:val="18"/>
          <w:color w:val="auto"/>
        </w:rPr>
        <w:t>Due to the seasonal nature of our business, cash is generally used in operations during the winter (our first and second fiscal quarters) as we require additional working capital to support the high volume of sales during this period, and cash is generally provided by operating activities during the spring and summer (our third and fourth quarters) when customer payments exceed the cost of deliveries.</w:t>
      </w:r>
    </w:p>
    <w:p>
      <w:pPr>
        <w:spacing w:after="0" w:line="176"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During fiscal 2020, cash provided by operating activities increased $78.3 million to $175.7 million, compared to $97.4 million during fiscal 2019. This reflects a $35.4 million favorable change in accounts receivables (net of customer credit balances) due to improved collections and lower sales volume at lower selling prices, a $20.9 million favorable change in inventory primarily due to lower cost of liquid product on hand as of September 30, 2020 as compared to September 30, 2019, a $18.8 million increase in cash generated from operations, $6.5 million of certain payroll tax withholdings related to fiscal 2020 that are deferred to calendar 2021 and 2022 as a result of certain tax and legislative actions, and $3.3 million of other net changes in working capital.</w:t>
      </w:r>
    </w:p>
    <w:p>
      <w:pPr>
        <w:spacing w:after="0" w:line="187"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During fiscal 2019, cash provided by operating activities increased $39.9 million to $97.4 million, compared to $57.5 million during fiscal 2018. This reflects a $9.8 million decrease in cash generated from operations primarily due to the non-recurrence in fiscal 2019 of the impact in fiscal 2018 of certain tax planning initiatives and the Tax Reform Act on current income taxes; $57.5 million higher collections of accounts receivables (net of customer credit balances); $22.0 million of decreases in other current and long term assets, the majority related to a reduction in 2019 of a current income receivable established in 2018. These were partially offset by a $12.6 million unfavorable change in accounts payable due primarily to the timing of inventory purchases, a $10.5 million unfavorable change in inventory (mostly due to a build in product inventory to a level similar to that as of September 30, 2017), and a $6.7 million unfavorable change in current and long term liabilities due in part to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ind w:right="220"/>
        <w:spacing w:after="0" w:line="282" w:lineRule="auto"/>
        <w:rPr>
          <w:sz w:val="20"/>
          <w:szCs w:val="20"/>
          <w:color w:val="auto"/>
        </w:rPr>
      </w:pPr>
      <w:r>
        <w:rPr>
          <w:rFonts w:ascii="Times New Roman" w:cs="Times New Roman" w:eastAsia="Times New Roman" w:hAnsi="Times New Roman"/>
          <w:sz w:val="18"/>
          <w:szCs w:val="18"/>
          <w:color w:val="auto"/>
        </w:rPr>
        <w:t>smaller increase in general insurance liabilities in fiscal 2019 compared to the increase in fiscal 2018, and a $1.8 million increase in escheat payments to state authorities.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Our capital expenditures for fiscal 2020 totaled $14.1 million, as we invested in computer hardware and software ($3.5 million), refurbished certain physical plants ($2.8 million), expanded our propane operations ($1.4 million) and made additions to our fleet and other equipment ($6.4 million).</w:t>
      </w:r>
    </w:p>
    <w:p>
      <w:pPr>
        <w:spacing w:after="0" w:line="162"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During fiscal 2020, we deposited $8.9 million into an irrevocable trust to secure certain liabilities for our captive insurance company and another $1.5 million of earnings were reinvested into the irrevocable trust. The cash deposited into the trust is shown on our balance sheet as captive insurance collateral and, correspondingly, reduced cash on our balance sheet. We believe that investments into the irrevocable trust will lower our letter of credit fees, increase interest income on invested cash balances, and provide us with certain tax advantages attributable to a captive insurance company.</w:t>
      </w:r>
    </w:p>
    <w:p>
      <w:pPr>
        <w:spacing w:after="0" w:line="180"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During fiscal 2020, the Company acquired two oil dealers for an aggregate purchase price of approximately $3.0 million in cash and $0.3 million of deferred liabilities. The gross purchase price was allocated $3.2 million to intangible assets and $0.6 million to fixed assets, and reduced by $0.5 million in working capital credits. The Company also completed the purchase of assets related to our fiscal 2019 acquisition of a heating oil dealer for an aggregate purchase price of approximately $1.2 million.</w:t>
      </w:r>
    </w:p>
    <w:p>
      <w:pPr>
        <w:spacing w:after="0" w:line="72" w:lineRule="exact"/>
        <w:rPr>
          <w:sz w:val="20"/>
          <w:szCs w:val="20"/>
          <w:color w:val="auto"/>
        </w:rPr>
      </w:pPr>
    </w:p>
    <w:p>
      <w:pPr>
        <w:ind w:right="20" w:firstLine="555"/>
        <w:spacing w:after="0" w:line="282" w:lineRule="auto"/>
        <w:rPr>
          <w:sz w:val="20"/>
          <w:szCs w:val="20"/>
          <w:color w:val="auto"/>
        </w:rPr>
      </w:pPr>
      <w:r>
        <w:rPr>
          <w:rFonts w:ascii="Times New Roman" w:cs="Times New Roman" w:eastAsia="Times New Roman" w:hAnsi="Times New Roman"/>
          <w:sz w:val="18"/>
          <w:szCs w:val="18"/>
          <w:color w:val="auto"/>
        </w:rPr>
        <w:t>Our capital expenditures for fiscal 2019 totaled $11.3 million, as we invested in computer hardware and software ($4.4 million), refurbished certain physical plants ($1.8 million), expanded our propane operations ($2.4 million) and made additions to our fleet and other equipment ($2.7 million).</w:t>
      </w:r>
    </w:p>
    <w:p>
      <w:pPr>
        <w:spacing w:after="0" w:line="162"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During fiscal 2019, we deposited $9.5 million into an irrevocable trust to secure certain liabilities for our captive insurance company and another $1.6 million of earnings were reinvested into the irrevocable trust.</w:t>
      </w:r>
    </w:p>
    <w:p>
      <w:pPr>
        <w:spacing w:after="0" w:line="162"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During fiscal 2019, the Company acquired one of its subcontractors, a liquid product dealer and the assets of a propane dealer for an aggregate purchase price of approximately $60.9 million. The gross purchase price was allocated $44.7 million to intangible assets and $13.7 million to fixed assets, leaving $2.5 million for working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right="60" w:firstLine="633"/>
        <w:spacing w:after="0" w:line="255" w:lineRule="auto"/>
        <w:rPr>
          <w:sz w:val="20"/>
          <w:szCs w:val="20"/>
          <w:color w:val="auto"/>
        </w:rPr>
      </w:pPr>
      <w:r>
        <w:rPr>
          <w:rFonts w:ascii="Times New Roman" w:cs="Times New Roman" w:eastAsia="Times New Roman" w:hAnsi="Times New Roman"/>
          <w:sz w:val="18"/>
          <w:szCs w:val="18"/>
          <w:color w:val="auto"/>
        </w:rPr>
        <w:t>During fiscal 2020, we refinanced our five-year term loan and the revolving credit facility with the execution of the fifth amended and restated revolving credit facility agreement. The $130 million of proceeds from the new term loan were used to repay the $90.0 million outstanding balance of the term loan, $39.0 million of the revolving credit facility borrowings under the old credit facility, and $1.0 million of debt issuance costs. We also paid an additional $0.6 million of debt issuance costs, repaid an additional net balance of $22.5 million under our revolving credit facility, repaid an additional $9.0 million of our term loan, repurchased 4.4 million Common Units for $38.4 million in connection with our unit repurchase plan, and paid distributions of $23.5 million to our Common Unit holders and $0.9 million to our General Partner unit holders (including $0.8 million of incentive distributions as provided in our Partnership Agreement).</w:t>
      </w:r>
    </w:p>
    <w:p>
      <w:pPr>
        <w:spacing w:after="0" w:line="189"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During fiscal 2019, we paid distributions of $24.8 million to our Common Unit holders and $0.8 million to our General Partner Unit holders (including $0.7 million of incentive distributions as provided in our Partnership Agreement). We borrowed $139.3 million under our revolving credit facility and subsequently repaid $79.3 million. We also repaid $7.5 million of our term loan and repurchased 5.4 million common units for $51.4 million in connection with our unit repurchase plan.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FINANCING AND SOURCES OF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Comparatives</w:t>
      </w:r>
    </w:p>
    <w:p>
      <w:pPr>
        <w:spacing w:after="0" w:line="121" w:lineRule="exact"/>
        <w:rPr>
          <w:sz w:val="20"/>
          <w:szCs w:val="20"/>
          <w:color w:val="auto"/>
        </w:rPr>
      </w:pPr>
    </w:p>
    <w:p>
      <w:pPr>
        <w:ind w:firstLine="555"/>
        <w:spacing w:after="0" w:line="253" w:lineRule="auto"/>
        <w:rPr>
          <w:sz w:val="20"/>
          <w:szCs w:val="20"/>
          <w:color w:val="auto"/>
        </w:rPr>
      </w:pPr>
      <w:r>
        <w:rPr>
          <w:rFonts w:ascii="Times New Roman" w:cs="Times New Roman" w:eastAsia="Times New Roman" w:hAnsi="Times New Roman"/>
          <w:sz w:val="18"/>
          <w:szCs w:val="18"/>
          <w:color w:val="auto"/>
        </w:rPr>
        <w:t>Our primary uses of liquidity are to provide funds for our working capital, capital expenditures, distributions on our units, acquisitions and unit repurchases. Our ability to provide funds for such uses depends on our future performance, which will be subject to prevailing economic, financial, and business conditions, especially in light of the impact of COVID-19, weather, the ability to collect current and future accounts receivable, the ability to pass on the full impact of high product costs to customers, the effects of high net customer attrition, conservation and other factors. Capital requirements, at least in the near term, are expected to be provided by cash flows from operating activities, cash on hand as of September 30, 2020 ($56.9 million) or a combination thereof. To the extent future capital requirements exceed cash on hand plus cash flows from operating activities, we anticipate that working capital will be financed by our revolving credit facility, as discussed below, and from subsequent seasonal reductions in inventory and accounts receivable. As of September 30, 2020, we had accounts receivable of $83.6 million of which $57.0 million is due from residential customers and $26.6 million is due from commercial customers. Our ability to borrow from our bank group is based in part on the aging of these accounts receivable. If these balances do not meet the eligibility tests as found in our fifth amended and restated credit agreement, our ability to borrow will be reduced and our anticipated cash flow from operating activities will also be reduced. As of September 30, 2020, we had no borrowings under our revolving credit facility, $123.5 million outstanding under our term loan, and $3.5 million in letters of credit outstanding, and our ability to borrow was reduced by $11.1 million to secure hedges with the bank group.</w:t>
      </w:r>
    </w:p>
    <w:p>
      <w:pPr>
        <w:spacing w:after="0" w:line="187"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Under the terms of the fifth amended and restated credit agreement, we must maintain at all times Availability (borrowing base less amounts borrowed and letters of credit issued) of 15% of the maximum facility size and a fixed charge coverage ratio of not less than 1.15. We must also maintain a senior secured leverage ratio that cannot be more than 3.0 as of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or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and no more than 4.5 as of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or March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As of September 30, 2020, Availability, as defined in the fifth amended and restated revolving credit facility agreement, was $203.4 million and we were in compliance with the fixed charge coverage ratio and senior secured leverage ratio.</w:t>
      </w:r>
    </w:p>
    <w:p>
      <w:pPr>
        <w:spacing w:after="0" w:line="183"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Maintenance capital expenditures for fiscal 2021 are estimated to be approximately $14.0 million, excluding the capital requirements for leased fleet which we currently estimate to be $10.3 million. In addition, we plan to invest approximately $1.3 million in our propane operations. Distributions for fiscal 2021, at the current quarterly level of $0.1325 per unit, would result in aggregate payments of approximately $22.2 million to Common Unit holders, $0.9 million to our General Partner (including $0.8 million of incentive distribution as provided for in our Partnership Agreement) and $0.8 million to management pursuant to the management incentive compensation plan which provides for certain members of management to receive incentive distributions that would otherwise be payable to the General Partner. Under the terms of our credit facility, our term loan is repayable in quarterly payments of $3.25 million. On November 5, 2020 we obtained a waiver from our bank group which waived a $13.0 million payment under the Excess Cash Flow provision and increased the Company’s liquidity by an equal amount (see Note 13 - Long-Term Debt and Bank Facility Borrowings). Over the last two fiscal years, the Company was required to deposit on average $9.2 million into our captive insurance company as collateral. For fiscal 2021, we are not required to make any additional deposits. In addition, on October 27, 2020, we completed a sale of certain propane assets and received cash proceeds of $6.1 million. Further, subject to any additional liquidity issues or concerns resulting from the current COVID-19 pandemic, we intend to continue to repurchase Common Units pursuant to our unit repurchase plan, as amended from time to time, and seek attractive acquisition opportunities within the Availability constraints of our revolving credit facility and funding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no special purpose entities or off balance sheet debt.</w:t>
      </w:r>
    </w:p>
    <w:p>
      <w:pPr>
        <w:spacing w:after="0" w:line="225" w:lineRule="exact"/>
        <w:rPr>
          <w:sz w:val="20"/>
          <w:szCs w:val="20"/>
          <w:color w:val="auto"/>
        </w:rPr>
      </w:pPr>
    </w:p>
    <w:p>
      <w:pPr>
        <w:jc w:val="both"/>
        <w:ind w:right="320" w:firstLine="589"/>
        <w:spacing w:after="0" w:line="289" w:lineRule="auto"/>
        <w:rPr>
          <w:sz w:val="20"/>
          <w:szCs w:val="20"/>
          <w:color w:val="auto"/>
        </w:rPr>
      </w:pPr>
      <w:r>
        <w:rPr>
          <w:rFonts w:ascii="Times New Roman" w:cs="Times New Roman" w:eastAsia="Times New Roman" w:hAnsi="Times New Roman"/>
          <w:sz w:val="17"/>
          <w:szCs w:val="17"/>
          <w:color w:val="auto"/>
        </w:rPr>
        <w:t>Long-term contractual obligations, except for our long-term debt and New England Teamsters and Trucking Industry Pension Fund withdrawal obligations and operating leases liabilities, are not recorded in our consolidated balance sheet. Non-cancelable purchase obligations are obligations we incur during the normal course of business, based on projected needs. The Company had no capital lease obligations as of September 30, 2020.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8"/>
          <w:szCs w:val="18"/>
          <w:color w:val="auto"/>
        </w:rPr>
        <w:t>The table below summarizes the payment schedule of our contractual obligations at September 30, 2020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and 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 (a)</w:t>
            </w:r>
          </w:p>
        </w:tc>
        <w:tc>
          <w:tcPr>
            <w:tcW w:w="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(b)</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obligations and other (c)</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 (d)</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 reflected on the balance sheet</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344,820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127,593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right="1440" w:hanging="572"/>
        <w:spacing w:after="0" w:line="261"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due of debt existing as of September 30, 2020, considering the terms of our fifth amended and restated credit agreement. Excludes potential prepayments resulting from Excess Cash Flow as defined in the aforementioned agreement.</w:t>
      </w:r>
    </w:p>
    <w:p>
      <w:pPr>
        <w:ind w:left="580" w:right="700" w:hanging="572"/>
        <w:spacing w:after="0" w:line="250"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various operating leases for office space, trucks, vans and other equipment with third parties. Maturities of operating leases are presented undiscounted.</w:t>
      </w:r>
    </w:p>
    <w:p>
      <w:pPr>
        <w:ind w:left="580" w:right="180" w:hanging="572"/>
        <w:spacing w:after="0" w:line="250"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non-cancelable commitments as of September 30, 2020 for operations such as weather hedge premiums, customer related invoice and statement processing, voice and data phone/computer services, real estate taxes on leased property and our undiscounted future payment obligations to the New England Teamsters and Trucking Industry Pension Fund.</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obligations on our term loan due December 2024 and the unused commitment fee on the revolving credit facility.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60" w:firstLine="589"/>
        <w:spacing w:after="0" w:line="282"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for discussion regarding the impact of accounting standards that were recently issued but not yet effective,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establish accounting policies and make estimates and assumptions that affect reported amounts of assets and liabilities at the date of the Consolidated Financial Statements. The Company evaluates its policies and estimates on an on-going basis. A change in any of these critical accounting estimates could have a material effect on the results of operations. The Company’s Consolidated Financial Statements may differ based upon different estimates and assumptions. The Company’s critical accounting estimates have been reviewed with the Audit Committee of the Board of Directors.</w:t>
      </w:r>
    </w:p>
    <w:p>
      <w:pPr>
        <w:spacing w:after="0" w:line="183"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of the Notes to the Consolidated Financial Statements. We believe the following are our critical accounting policies and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We calculate amortization using the straight-line method over periods ranging from five to twenty years for intangible assets with finite useful lives based on historical statistics. We use amortization methods and determine asset values based on our best estimates using reasonable and supportable assumptions and projections. Key assumptions used to determine the value of these intangibles include projections of future customer attrition or growth rates, product margin increases, operating expenses, our cost of capital, and corporate income tax rates. For significant acquisitions we may engage a third party valuation firm to assist in the valuation of intangible assets of that acquisition. We assess the useful lives of intangible assets based on the estimated period over which we will receive benefit from such intangible assets such as historical evidence regarding customer churn rate. In some cases, the estimated useful lives are based on contractual terms. At September 30, 2020, we had $90.3 million of net intangible assets subject to amortization. If lives were shortened by one year, we estimate that amortization for these assets for fiscal 2020 would have increased by approximately $4.9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FASB ASC 350-10-05, Intangibles-Goodwill and Other, requires goodwill to be assessed at least annually for impairment. The Company has one reporting unit and performs its annual assessment at the end of August. As provided for by the standard, we performed qualitative assessments (commonly referred to as Step 0) to evaluate whether it is more-likely-than-not (a likelihood that is more than 50%) that goodwill has been impaired, as a basis to determine whether it is necessary to perform the two-step quantitative impairment test. The Company’s qualitative assessment included a review of factors such as our reporting unit’s market value compared to its carrying value, our short-term and long-term unit price performance, our planned overall business strategy compared to recent financial results, as well as macroeconomic conditions, industry and market considerations, cost factors, and other relevant Company-specific events. In considering the totality of the qualitative factors assessed, based on the weight of evidence it was determined that it was not more-likely-than-not that goodwill was impaired as of August 31, 2020, and as such it was determined that further goodwill testing was not necessary.</w:t>
      </w:r>
    </w:p>
    <w:p>
      <w:pPr>
        <w:spacing w:after="0" w:line="192"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Intangible assets with finite lives must be assessed for impairment whenever changes in circumstances indicate that the assets may be impaired. The assessment for impairment requires estimates of future cash flows related to the intangible asset. To the extent the carrying value of the assets exceeds its future undiscounted cash flows, an impairment loss is recorded based on the fair value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Derivatives</w:t>
      </w:r>
    </w:p>
    <w:p>
      <w:pPr>
        <w:spacing w:after="0" w:line="121" w:lineRule="exact"/>
        <w:rPr>
          <w:sz w:val="20"/>
          <w:szCs w:val="20"/>
          <w:color w:val="auto"/>
        </w:rPr>
      </w:pPr>
    </w:p>
    <w:p>
      <w:pPr>
        <w:jc w:val="both"/>
        <w:ind w:right="320" w:firstLine="589"/>
        <w:spacing w:after="0" w:line="266"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The Company has elected not to designate its commodity derivative instruments as hedging instruments under this guidance, and therefore the change in fair value of those derivative instruments are recognized in our statement of operations.</w:t>
      </w:r>
    </w:p>
    <w:p>
      <w:pPr>
        <w:spacing w:after="0" w:line="176"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We have established the fair value of our derivative instruments using estimates determined by our counterparties and subsequently evaluated them internally using established index prices and other sources. These values are based upon, among other things, future prices, volatility, time-to-maturity value and credit risk. The estimate of fair value we report in our financial statements changes as these estimates are revised to reflect actual results, changes in market conditions, or other factors, many of which are beyond our control.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21"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We currently self-insure a portion of workers’ compensation, auto, general liability and medical claims. We establish reserves based upon expectations as to what our ultimate liability may be for outstanding claims using developmental factors based upon historical claim experience, supplemented by a third-party actuary. We periodically evaluate the potential for changes in loss estimates with the support of qualified actuaries. As of September 30, 2020, we had approximately $74.4 million of net insurance reserves. The ultimate resolution of these claims could differ materially from the assumptions used to calculate the reserves, which could have a material adverse effect on results of operations.</w:t>
      </w:r>
    </w:p>
    <w:p>
      <w:pPr>
        <w:spacing w:after="0" w:line="28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are exposed to interest rate risk primarily through our bank credit facilities. We utilize these borrowings to meet our working capital needs.</w:t>
      </w:r>
    </w:p>
    <w:p>
      <w:pPr>
        <w:spacing w:after="0" w:line="225" w:lineRule="exact"/>
        <w:rPr>
          <w:sz w:val="20"/>
          <w:szCs w:val="20"/>
          <w:color w:val="auto"/>
        </w:rPr>
      </w:pPr>
    </w:p>
    <w:p>
      <w:pPr>
        <w:ind w:right="320" w:firstLine="589"/>
        <w:spacing w:after="0" w:line="266" w:lineRule="auto"/>
        <w:rPr>
          <w:sz w:val="20"/>
          <w:szCs w:val="20"/>
          <w:color w:val="auto"/>
        </w:rPr>
      </w:pPr>
      <w:r>
        <w:rPr>
          <w:rFonts w:ascii="Times New Roman" w:cs="Times New Roman" w:eastAsia="Times New Roman" w:hAnsi="Times New Roman"/>
          <w:sz w:val="18"/>
          <w:szCs w:val="18"/>
          <w:color w:val="auto"/>
        </w:rPr>
        <w:t>At September 30, 2020, we had outstanding borrowings totaling $123.5 million, which are subject to variable interest rates under our credit agreement. In the event that interest rates associated with this facility were to increase 100 basis points, the after tax impact on annual future cash flows would be a decrease of $0.9 million.</w:t>
      </w:r>
    </w:p>
    <w:p>
      <w:pPr>
        <w:spacing w:after="0" w:line="176"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We regularly use derivative financial instruments to manage our exposure to market risk related to changes in the current and future market price of home heating oil. The value of market sensitive derivative instruments is subject to change as a result of movements in market prices. Sensitivity analysis is a technique used to evaluate the impact of hypothetical market value changes. Based on a hypothetical ten percent increase in the cost of product at September 30, 2020, the potential impact on our hedging activity would be to increase the fair market value of these outstanding derivatives by $2.5 million to a fair market value of $(8.8) million; and conversely a hypothetical ten percent decrease in the cost of product would decrease the fair market value of these outstanding derivatives by $1.2 million to a fair market value of $(12.5)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The financial statements and financial statement schedules referred to in the index contained on page F-1 of this Report are incorporated herein by reference.</w:t>
      </w:r>
    </w:p>
    <w:p>
      <w:pPr>
        <w:spacing w:after="0" w:line="26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117"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Our general partner’s chief executive officer and our chief financial officer evaluated the effectiveness of the Company’s disclosure controls and procedures (as that term is defined in Rule 13a-15(e) of the Securities Exchange Act of 1934, as amended) as of September 30, 2020. Based on that evaluation, such chief executive officer and chief financial officer concluded that the Company’s disclosure controls and procedures were effective as of September 30, 2020 at the reasonable level of assurance. For purposes of Rule 13a-15(e), the term disclosure controls and procedures means controls and other procedures of an issuer that are designed to ensure that information required to be disclosed by the issuer in the reports that it files or submits under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our chief executive officer and chief financial officer, or persons performing similar functions,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Report on Internal Control over Financial Reporting.</w:t>
      </w:r>
    </w:p>
    <w:p>
      <w:pPr>
        <w:spacing w:after="0" w:line="117"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under the Securities Exchange Act of 1934, as amended. Under the supervision of management and with the participation of our management, including our chief executive officer and chief financial officer, we conducted an evaluation of the effectiveness of our internal control over financial reporting based on the framework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our evaluation of internal control over financial reporting, our management concluded that our internal control over financial reporting was effective as of September 30, 2020.</w:t>
      </w:r>
    </w:p>
    <w:p>
      <w:pPr>
        <w:spacing w:after="0" w:line="187"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2020 has been audited by our independent registered public accounting firm, as stated in their report which is included at Item 8 – Financial Statements and Supplementary Data.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 in Internal Control over Financial Reporting.</w:t>
      </w:r>
    </w:p>
    <w:p>
      <w:pPr>
        <w:spacing w:after="0" w:line="117"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most recent fiscal quarter that has materially affected, or is reasonably likely to materially affect, our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Other</w:t>
      </w:r>
    </w:p>
    <w:p>
      <w:pPr>
        <w:spacing w:after="0" w:line="117"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Our general partner and the Company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the Company have been detected. Therefore, a control system, no matter how well conceived and operated, can provide only reasonable, not absolute, assurance that the objectives of the control system are met. Our disclosure controls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line="266" w:lineRule="auto"/>
        <w:rPr>
          <w:sz w:val="20"/>
          <w:szCs w:val="20"/>
          <w:color w:val="auto"/>
        </w:rPr>
      </w:pPr>
      <w:r>
        <w:rPr>
          <w:rFonts w:ascii="Times New Roman" w:cs="Times New Roman" w:eastAsia="Times New Roman" w:hAnsi="Times New Roman"/>
          <w:sz w:val="18"/>
          <w:szCs w:val="18"/>
          <w:color w:val="auto"/>
        </w:rPr>
        <w:t>procedures are designed to provide such reasonable assurances of achieving our desired control objectives, and the chief executive officer and chief financial officer of our general partner have concluded, as of September 30, 2020, that our disclosure controls and procedures were effective in achieving that level of reasonable assurance.</w:t>
      </w:r>
    </w:p>
    <w:p>
      <w:pPr>
        <w:spacing w:after="0" w:line="28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Partnership Management</w:t>
      </w:r>
    </w:p>
    <w:p>
      <w:pPr>
        <w:spacing w:after="0" w:line="229" w:lineRule="exact"/>
        <w:rPr>
          <w:sz w:val="20"/>
          <w:szCs w:val="20"/>
          <w:color w:val="auto"/>
        </w:rPr>
      </w:pPr>
    </w:p>
    <w:p>
      <w:pPr>
        <w:ind w:right="420" w:firstLine="589"/>
        <w:spacing w:after="0" w:line="282" w:lineRule="auto"/>
        <w:rPr>
          <w:sz w:val="20"/>
          <w:szCs w:val="20"/>
          <w:color w:val="auto"/>
        </w:rPr>
      </w:pPr>
      <w:r>
        <w:rPr>
          <w:rFonts w:ascii="Times New Roman" w:cs="Times New Roman" w:eastAsia="Times New Roman" w:hAnsi="Times New Roman"/>
          <w:sz w:val="18"/>
          <w:szCs w:val="18"/>
          <w:color w:val="auto"/>
        </w:rPr>
        <w:t>Our general partner is Kestrel Heat. The Board of Directors of Kestrel Heat is appointed by its sole member, Kestrel, which is a private equity investment partnership formed by Yorktown Energy Partners VI, L.P., Paul A. Vermylen Jr. and other investors.</w:t>
      </w:r>
    </w:p>
    <w:p>
      <w:pPr>
        <w:spacing w:after="0" w:line="162"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Kestrel Heat, as our general partner, oversees our activities. Unitholders do not directly or indirectly participate in our management or operation or elect the directors of the general partner. The Board of Directors (sometimes referred to as the “Board”) of Kestrel Heat has adopted a set of Partnership Governance Guidelines in accordance with the requirements of the New York Stock Exchange. A copy of these Guidelines is available on our website at www.stargrouplp.com or a copy may be obtained without charge by contacting Richard F. Ambury, (203) 328-7310.</w:t>
      </w:r>
    </w:p>
    <w:p>
      <w:pPr>
        <w:spacing w:after="0" w:line="180" w:lineRule="exact"/>
        <w:rPr>
          <w:sz w:val="20"/>
          <w:szCs w:val="20"/>
          <w:color w:val="auto"/>
        </w:rPr>
      </w:pPr>
    </w:p>
    <w:p>
      <w:pPr>
        <w:ind w:right="680" w:firstLine="589"/>
        <w:spacing w:after="0" w:line="282" w:lineRule="auto"/>
        <w:rPr>
          <w:sz w:val="20"/>
          <w:szCs w:val="20"/>
          <w:color w:val="auto"/>
        </w:rPr>
      </w:pPr>
      <w:r>
        <w:rPr>
          <w:rFonts w:ascii="Times New Roman" w:cs="Times New Roman" w:eastAsia="Times New Roman" w:hAnsi="Times New Roman"/>
          <w:sz w:val="18"/>
          <w:szCs w:val="18"/>
          <w:color w:val="auto"/>
        </w:rPr>
        <w:t>As of November 30, 2020, Kestrel Heat and its affiliates owned an aggregate of 500,000 common units, representing 1% of the issued and outstanding common units, and Kestrel Heat owned 325,729 general partner units.</w:t>
      </w:r>
    </w:p>
    <w:p>
      <w:pPr>
        <w:spacing w:after="0" w:line="162"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The general partner owes a fiduciary duty to the unitholders. However, our Partnership Agreement contains provisions that allow the general partner to take into account the interests of parties other than the limited partners in resolving conflict of interest, thereby limiting such fiduciary duty. Notwithstanding any limitation on obligations or duties, the general partner will be liable, as our general partner, for all our debts (to the extent not paid by us), except to the extent that indebtedness or other obligations incurred by us are made specifically non-recourse to the general partner.</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general partner does not directly employ any of the persons responsible for managing or operating Star.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General Partner</w:t>
      </w:r>
    </w:p>
    <w:p>
      <w:pPr>
        <w:spacing w:after="0" w:line="121"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Directors are appointed for an indefinite term, subject to the discretion of Kestrel. The following table shows certain information for directors and executive officers of the general partner as of November 30,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gridSpan w:val="3"/>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Age</w:t>
            </w:r>
          </w:p>
        </w:tc>
        <w:tc>
          <w:tcPr>
            <w:tcW w:w="6940" w:type="dxa"/>
            <w:vAlign w:val="bottom"/>
            <w:gridSpan w:val="3"/>
          </w:tcPr>
          <w:p>
            <w:pPr>
              <w:ind w:left="33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Paul</w:t>
            </w:r>
          </w:p>
        </w:tc>
        <w:tc>
          <w:tcPr>
            <w:tcW w:w="28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 Vermylen, Jr.</w:t>
            </w:r>
          </w:p>
        </w:tc>
        <w:tc>
          <w:tcPr>
            <w:tcW w:w="700" w:type="dxa"/>
            <w:vAlign w:val="bottom"/>
          </w:tcPr>
          <w:p>
            <w:pPr>
              <w:spacing w:after="0"/>
              <w:rPr>
                <w:sz w:val="16"/>
                <w:szCs w:val="16"/>
                <w:color w:val="auto"/>
              </w:rPr>
            </w:pPr>
          </w:p>
        </w:tc>
        <w:tc>
          <w:tcPr>
            <w:tcW w:w="2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73</w:t>
            </w:r>
          </w:p>
        </w:tc>
        <w:tc>
          <w:tcPr>
            <w:tcW w:w="200" w:type="dxa"/>
            <w:vAlign w:val="bottom"/>
          </w:tcPr>
          <w:p>
            <w:pPr>
              <w:spacing w:after="0"/>
              <w:rPr>
                <w:sz w:val="16"/>
                <w:szCs w:val="16"/>
                <w:color w:val="auto"/>
              </w:rPr>
            </w:pPr>
          </w:p>
        </w:tc>
        <w:tc>
          <w:tcPr>
            <w:tcW w:w="3320" w:type="dxa"/>
            <w:vAlign w:val="bottom"/>
          </w:tcPr>
          <w:p>
            <w:pPr>
              <w:ind w:left="200"/>
              <w:spacing w:after="0" w:line="185" w:lineRule="exact"/>
              <w:rPr>
                <w:sz w:val="20"/>
                <w:szCs w:val="20"/>
                <w:color w:val="auto"/>
              </w:rPr>
            </w:pPr>
            <w:r>
              <w:rPr>
                <w:rFonts w:ascii="Times New Roman" w:cs="Times New Roman" w:eastAsia="Times New Roman" w:hAnsi="Times New Roman"/>
                <w:sz w:val="18"/>
                <w:szCs w:val="18"/>
                <w:color w:val="auto"/>
              </w:rPr>
              <w:t>Chairman, Director</w:t>
            </w:r>
          </w:p>
        </w:tc>
        <w:tc>
          <w:tcPr>
            <w:tcW w:w="500" w:type="dxa"/>
            <w:vAlign w:val="bottom"/>
            <w:tcBorders>
              <w:top w:val="single" w:sz="8" w:color="auto"/>
            </w:tcBorders>
          </w:tcPr>
          <w:p>
            <w:pPr>
              <w:spacing w:after="0"/>
              <w:rPr>
                <w:sz w:val="16"/>
                <w:szCs w:val="16"/>
                <w:color w:val="auto"/>
              </w:rPr>
            </w:pPr>
          </w:p>
        </w:tc>
        <w:tc>
          <w:tcPr>
            <w:tcW w:w="3120" w:type="dxa"/>
            <w:vAlign w:val="bottom"/>
          </w:tcPr>
          <w:p>
            <w:pPr>
              <w:spacing w:after="0"/>
              <w:rPr>
                <w:sz w:val="16"/>
                <w:szCs w:val="16"/>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63</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 Executive Vice President, Treasurer and Secretary</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Customer Officer</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Henry D. Babcock(1)</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80</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Scott Baxter(1)</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9"/>
                <w:szCs w:val="19"/>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212121"/>
              </w:rPr>
              <w:t>David M. Bauer</w:t>
            </w:r>
            <w:r>
              <w:rPr>
                <w:rFonts w:ascii="Times New Roman" w:cs="Times New Roman" w:eastAsia="Times New Roman" w:hAnsi="Times New Roman"/>
                <w:sz w:val="18"/>
                <w:szCs w:val="18"/>
                <w:color w:val="000000"/>
              </w:rPr>
              <w:t>(1)</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P. Donovan</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74</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Bryan H. Lawrence</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78</w:t>
            </w:r>
          </w:p>
        </w:tc>
        <w:tc>
          <w:tcPr>
            <w:tcW w:w="200" w:type="dxa"/>
            <w:vAlign w:val="bottom"/>
          </w:tcPr>
          <w:p>
            <w:pPr>
              <w:spacing w:after="0"/>
              <w:rPr>
                <w:sz w:val="18"/>
                <w:szCs w:val="18"/>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P. Nicoletti (1)</w:t>
            </w:r>
          </w:p>
        </w:tc>
        <w:tc>
          <w:tcPr>
            <w:tcW w:w="94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9"/>
              </w:rPr>
              <w:t>75</w:t>
            </w:r>
          </w:p>
        </w:tc>
        <w:tc>
          <w:tcPr>
            <w:tcW w:w="200" w:type="dxa"/>
            <w:vAlign w:val="bottom"/>
          </w:tcPr>
          <w:p>
            <w:pPr>
              <w:spacing w:after="0"/>
              <w:rPr>
                <w:sz w:val="20"/>
                <w:szCs w:val="20"/>
                <w:color w:val="auto"/>
              </w:rPr>
            </w:pP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135"/>
        </w:trPr>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20" w:type="dxa"/>
            <w:vAlign w:val="bottom"/>
          </w:tcPr>
          <w:p>
            <w:pPr>
              <w:spacing w:after="0"/>
              <w:rPr>
                <w:sz w:val="11"/>
                <w:szCs w:val="11"/>
                <w:color w:val="auto"/>
              </w:rPr>
            </w:pP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Audit Committee member</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432"/>
        </w:trPr>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ind w:right="420" w:firstLine="58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A. Vermylen, Jr. </w:t>
      </w:r>
      <w:r>
        <w:rPr>
          <w:rFonts w:ascii="Times New Roman" w:cs="Times New Roman" w:eastAsia="Times New Roman" w:hAnsi="Times New Roman"/>
          <w:sz w:val="18"/>
          <w:szCs w:val="18"/>
          <w:color w:val="auto"/>
        </w:rPr>
        <w:t>Mr. Vermylen has been the Chairman and a director of Kestrel Heat since April 28, 2006. Mr. Vermylen is a founder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Kestrel and has served as its President and as a manager since July 2005. Mr. Vermylen had been employed since 1971, serving in various capacities, including as a Vice President of Citibank N.A. and Vice President-Finance of Commonwealth Oil Refining Co. Inc. Mr. Vermylen served as Chief Financial Officer of Meenan Oil Co., L.P. (“Meenan”) from 1982 until 1992 and as President of Meenan until 2001, when we acquired Meenan. Since 2001, Mr. Vermylen has pursued private investment opportunities.</w:t>
      </w:r>
    </w:p>
    <w:p>
      <w:pPr>
        <w:spacing w:after="0" w:line="183" w:lineRule="exact"/>
        <w:rPr>
          <w:sz w:val="20"/>
          <w:szCs w:val="20"/>
          <w:color w:val="auto"/>
        </w:rPr>
      </w:pPr>
    </w:p>
    <w:p>
      <w:pPr>
        <w:ind w:right="720" w:firstLine="589"/>
        <w:spacing w:after="0" w:line="282" w:lineRule="auto"/>
        <w:rPr>
          <w:sz w:val="20"/>
          <w:szCs w:val="20"/>
          <w:color w:val="auto"/>
        </w:rPr>
      </w:pPr>
      <w:r>
        <w:rPr>
          <w:rFonts w:ascii="Times New Roman" w:cs="Times New Roman" w:eastAsia="Times New Roman" w:hAnsi="Times New Roman"/>
          <w:sz w:val="18"/>
          <w:szCs w:val="18"/>
          <w:color w:val="auto"/>
        </w:rPr>
        <w:t>Mr. Vermylen serves as a director of certain non-public companies in the energy industry in which Kestrel holds equity interests including Downeast LNG, Inc. Mr. Vermylen is a graduate of Georgetown University and has an M.B.A. from Columbia University.</w:t>
      </w:r>
    </w:p>
    <w:p>
      <w:pPr>
        <w:spacing w:after="0" w:line="162"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Mr. Vermylen’s substantial experience in the home heating oil industry and his leadership skills and experience as an executive officer of Meenan, among other factors, led the Board to conclude that he should serve as the Chairman and a director of Kestrel Heat.</w:t>
      </w:r>
    </w:p>
    <w:p>
      <w:pPr>
        <w:spacing w:after="0" w:line="158" w:lineRule="exact"/>
        <w:rPr>
          <w:sz w:val="20"/>
          <w:szCs w:val="20"/>
          <w:color w:val="auto"/>
        </w:rPr>
      </w:pPr>
    </w:p>
    <w:p>
      <w:pPr>
        <w:ind w:right="160" w:firstLine="58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M. Woosnam. </w:t>
      </w:r>
      <w:r>
        <w:rPr>
          <w:rFonts w:ascii="Times New Roman" w:cs="Times New Roman" w:eastAsia="Times New Roman" w:hAnsi="Times New Roman"/>
          <w:sz w:val="18"/>
          <w:szCs w:val="18"/>
          <w:color w:val="auto"/>
        </w:rPr>
        <w:t>Mr. Woosnam has been President, Chief Executive Officer and a director of Kestrel Heat since March 18, 2019. From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to March 2019, Mr. Woosnam served as Senior Vice President, Southern Operations. From April 2007 to May 2014, Mr. Woosnam served as Vice President, Southern Operations. From 2006 to 2007, he served as the Director of Operations for Petroleum Heat and Power Company, a subsidiary of the Company. From 1994 to 2006, he held several General Management positions for Petro, Inc. with increasing levels of responsibility.</w:t>
      </w:r>
    </w:p>
    <w:p>
      <w:pPr>
        <w:spacing w:after="0" w:line="3" w:lineRule="exact"/>
        <w:rPr>
          <w:sz w:val="20"/>
          <w:szCs w:val="20"/>
          <w:color w:val="auto"/>
        </w:rPr>
      </w:pPr>
    </w:p>
    <w:p>
      <w:pPr>
        <w:ind w:right="540" w:firstLine="589"/>
        <w:spacing w:after="0" w:line="260" w:lineRule="auto"/>
        <w:rPr>
          <w:sz w:val="20"/>
          <w:szCs w:val="20"/>
          <w:color w:val="auto"/>
        </w:rPr>
      </w:pPr>
      <w:r>
        <w:rPr>
          <w:rFonts w:ascii="Times New Roman" w:cs="Times New Roman" w:eastAsia="Times New Roman" w:hAnsi="Times New Roman"/>
          <w:sz w:val="18"/>
          <w:szCs w:val="18"/>
          <w:color w:val="auto"/>
        </w:rPr>
        <w:t>Mr. Woosnam’s in-depth knowledge of the Company’s business and his substantial experience in the home heating oil industry, among other factors, led the Board to conclude that he should serve as a director of Kestrel Heat.</w:t>
      </w:r>
    </w:p>
    <w:p>
      <w:pPr>
        <w:spacing w:after="0" w:line="177"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F. Ambury. </w:t>
      </w:r>
      <w:r>
        <w:rPr>
          <w:rFonts w:ascii="Times New Roman" w:cs="Times New Roman" w:eastAsia="Times New Roman" w:hAnsi="Times New Roman"/>
          <w:sz w:val="18"/>
          <w:szCs w:val="18"/>
          <w:color w:val="auto"/>
        </w:rPr>
        <w:t>Mr. Ambury has been Executive Vice President of Kestrel Heat since May 1, 2010 and has been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and Secretary of Kestrel Heat since April 28, 2006. Mr. Ambury was Chief Financial Officer, Treasurer and Secretary of Star Group from May 2005 until April 28, 2006. From November 2001 to May 2005, Mr. Ambury was Vice President and Treasurer of Star Group. From March 1999 to November 2001, Mr. Ambury was Vice President of Star Gas Propane, L.P. From February 1996 to March 1999, Mr. Ambury served as Vice President— Finance of Star Gas Corporation, a predecessor general partner. Mr. Ambury was employed by Petroleum Heat and Power Co., Inc. from June 1983 through February 1996, where he served in various accounting/finance capacities. From 1979 to 1983, Mr. Ambury was employed by a predecessor firm of KPMG, a public accounting firm. Mr. Ambury has been a Certified Public Accountant since 1981.</w:t>
      </w:r>
    </w:p>
    <w:p>
      <w:pPr>
        <w:spacing w:after="0" w:line="183" w:lineRule="exact"/>
        <w:rPr>
          <w:sz w:val="20"/>
          <w:szCs w:val="20"/>
          <w:color w:val="auto"/>
        </w:rPr>
      </w:pPr>
    </w:p>
    <w:p>
      <w:pPr>
        <w:ind w:right="40" w:firstLine="58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S. Hammond. </w:t>
      </w:r>
      <w:r>
        <w:rPr>
          <w:rFonts w:ascii="Times New Roman" w:cs="Times New Roman" w:eastAsia="Times New Roman" w:hAnsi="Times New Roman"/>
          <w:sz w:val="18"/>
          <w:szCs w:val="18"/>
          <w:color w:val="auto"/>
        </w:rPr>
        <w:t>Mr. Hammond has been Chief Operating Officer of Kestrel Heat since March 18, 2019. From October 2013 to March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served as Senior Vice President, Northern Operations. From April 2007 to October 2013, Mr. Hammond served as Vice President, Northern Operations. From 2006 to 2007, he served as the Director of Operations for Petro Holdings, Inc., a subsidiary of the Company. From 2004 to 2006, Mr. Hammond served as Director of Planning and Logistics for Petro Holdings, Inc. From 2003 to 2004, he held a General Manager position for Petro Holdings, Inc. Prior to joining the Company in January 2003, Mr. Hammond worked for United Parcel Service for 19 years. While at UPS, he held various management positions in Operations and Industrial Engineering.</w:t>
      </w:r>
    </w:p>
    <w:p>
      <w:pPr>
        <w:spacing w:after="0" w:line="182" w:lineRule="exact"/>
        <w:rPr>
          <w:sz w:val="20"/>
          <w:szCs w:val="20"/>
          <w:color w:val="auto"/>
        </w:rPr>
      </w:pPr>
    </w:p>
    <w:p>
      <w:pPr>
        <w:ind w:right="120" w:firstLine="58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R. McDonald. </w:t>
      </w:r>
      <w:r>
        <w:rPr>
          <w:rFonts w:ascii="Times New Roman" w:cs="Times New Roman" w:eastAsia="Times New Roman" w:hAnsi="Times New Roman"/>
          <w:sz w:val="18"/>
          <w:szCs w:val="18"/>
          <w:color w:val="auto"/>
        </w:rPr>
        <w:t>Mr. McDonald has been Chief Customer Officer of Kestrel Heat since March 18, 2019. From May 2014 to March 2019,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of Sales, Marketing &amp; Retention. From May 2005 to May 2014, Mr. McDonald served as Vice President, Sales and Marketing. From October 2004 to May 2005, he served as the Director of Sales for Petro Holdings, Inc., a subsidiary of the Company. From January 2003 to October 2004, was a Regional Sales Manager for Petro Holdings, Inc</w:t>
      </w:r>
    </w:p>
    <w:p>
      <w:pPr>
        <w:spacing w:after="0" w:line="176" w:lineRule="exact"/>
        <w:rPr>
          <w:sz w:val="20"/>
          <w:szCs w:val="20"/>
          <w:color w:val="auto"/>
        </w:rPr>
      </w:pPr>
    </w:p>
    <w:p>
      <w:pPr>
        <w:ind w:right="140" w:firstLine="58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Henry D. Babcock. </w:t>
      </w:r>
      <w:r>
        <w:rPr>
          <w:rFonts w:ascii="Times New Roman" w:cs="Times New Roman" w:eastAsia="Times New Roman" w:hAnsi="Times New Roman"/>
          <w:sz w:val="17"/>
          <w:szCs w:val="17"/>
          <w:color w:val="auto"/>
        </w:rPr>
        <w:t>Mr. Babcock has been a director of Kestrel Heat since April 28, 2006. He retired at the end of 2019 as director and the former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of The Caumsett Foundation, Inc., a non-profit that supports Caumsett Historic State Park Preserve. Until his retirement in 2010, Mr. Babcock had worked with Train, Babcock Advisors LLC, a private registered investment advisor, since 1976, becoming a Member in 1980. Prior to this, he ran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ind w:right="320"/>
        <w:spacing w:after="0" w:line="282" w:lineRule="auto"/>
        <w:rPr>
          <w:sz w:val="20"/>
          <w:szCs w:val="20"/>
          <w:color w:val="auto"/>
        </w:rPr>
      </w:pPr>
      <w:r>
        <w:rPr>
          <w:rFonts w:ascii="Times New Roman" w:cs="Times New Roman" w:eastAsia="Times New Roman" w:hAnsi="Times New Roman"/>
          <w:sz w:val="18"/>
          <w:szCs w:val="18"/>
          <w:color w:val="auto"/>
        </w:rPr>
        <w:t>an affiliated venture capital company active in the U.S. and abroad. Mr. Babcock received a BA from Yale University and an MBA from Columbia. He served in the U.S. Army for three years.</w:t>
      </w:r>
    </w:p>
    <w:p>
      <w:pPr>
        <w:spacing w:after="0" w:line="162" w:lineRule="exact"/>
        <w:rPr>
          <w:sz w:val="20"/>
          <w:szCs w:val="20"/>
          <w:color w:val="auto"/>
        </w:rPr>
      </w:pPr>
    </w:p>
    <w:p>
      <w:pPr>
        <w:ind w:right="80" w:firstLine="589"/>
        <w:spacing w:after="0" w:line="282" w:lineRule="auto"/>
        <w:rPr>
          <w:sz w:val="20"/>
          <w:szCs w:val="20"/>
          <w:color w:val="auto"/>
        </w:rPr>
      </w:pPr>
      <w:r>
        <w:rPr>
          <w:rFonts w:ascii="Times New Roman" w:cs="Times New Roman" w:eastAsia="Times New Roman" w:hAnsi="Times New Roman"/>
          <w:sz w:val="18"/>
          <w:szCs w:val="18"/>
          <w:color w:val="auto"/>
        </w:rPr>
        <w:t>Mr. Babcock’s significant experience in capital markets, corporate finance and venture capital, among other factors, led the Board to conclude that he should serve as a director of Kestrel Heat.</w:t>
      </w:r>
    </w:p>
    <w:p>
      <w:pPr>
        <w:spacing w:after="0" w:line="158" w:lineRule="exact"/>
        <w:rPr>
          <w:sz w:val="20"/>
          <w:szCs w:val="20"/>
          <w:color w:val="auto"/>
        </w:rPr>
      </w:pPr>
    </w:p>
    <w:p>
      <w:pPr>
        <w:ind w:right="140" w:firstLine="58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 Scott Baxter. </w:t>
      </w:r>
      <w:r>
        <w:rPr>
          <w:rFonts w:ascii="Times New Roman" w:cs="Times New Roman" w:eastAsia="Times New Roman" w:hAnsi="Times New Roman"/>
          <w:sz w:val="18"/>
          <w:szCs w:val="18"/>
          <w:color w:val="auto"/>
        </w:rPr>
        <w:t>Mr. Baxter has been a director of Kestrel Heat since April 28, 2006. Mr. Baxter is currently a Managing Director at Berkeley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Group (“BRG”), a global investment banking advisory and consulting firm. Mr. Baxter has over 30 years of energy investment banking experience and has been a primary advisor in sourcing and executing over $200 billion in corporate M&amp;A, restructuring and equity financing transactions in the energy industry. Mr. Baxter also has significant experience advising independent committees of boards including rendering over 40 independent fairness opinions spanning the upstream, downstream and midstream energy sectors including for many MLPs.</w:t>
      </w:r>
    </w:p>
    <w:p>
      <w:pPr>
        <w:spacing w:after="0" w:line="183" w:lineRule="exact"/>
        <w:rPr>
          <w:sz w:val="20"/>
          <w:szCs w:val="20"/>
          <w:color w:val="auto"/>
        </w:rPr>
      </w:pPr>
    </w:p>
    <w:p>
      <w:pPr>
        <w:jc w:val="both"/>
        <w:ind w:right="20" w:firstLine="589"/>
        <w:spacing w:after="0" w:line="266" w:lineRule="auto"/>
        <w:rPr>
          <w:sz w:val="20"/>
          <w:szCs w:val="20"/>
          <w:color w:val="auto"/>
        </w:rPr>
      </w:pPr>
      <w:r>
        <w:rPr>
          <w:rFonts w:ascii="Times New Roman" w:cs="Times New Roman" w:eastAsia="Times New Roman" w:hAnsi="Times New Roman"/>
          <w:sz w:val="18"/>
          <w:szCs w:val="18"/>
          <w:color w:val="auto"/>
        </w:rPr>
        <w:t>Mr. Baxter’s previous energy investment banking experience includes opening and running the Houston office for Petrie Partners, serving as Head of the Americas for J.P. Morgan’s global energy group, Managing Director in the global energy group at Citigroup (Salomon Brothers), and serving as head of the energy group for Houlihan Lokey.</w:t>
      </w:r>
    </w:p>
    <w:p>
      <w:pPr>
        <w:spacing w:after="0" w:line="176"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Mr. Baxter holds a B.S. degree in Economics from Weber State University where he graduated cum laude, and received an MBA degree from the University of Chicago Graduate School of Business. Mr. Baxter also served as an adjunct professor of finance at Columbia University’s Graduate School of Business from 2002 to 2006 and has been on the President’s National Advisory Council for Weber State University since 1996.</w:t>
      </w:r>
    </w:p>
    <w:p>
      <w:pPr>
        <w:spacing w:after="0" w:line="176" w:lineRule="exact"/>
        <w:rPr>
          <w:sz w:val="20"/>
          <w:szCs w:val="20"/>
          <w:color w:val="auto"/>
        </w:rPr>
      </w:pPr>
    </w:p>
    <w:p>
      <w:pPr>
        <w:ind w:right="100" w:firstLine="589"/>
        <w:spacing w:after="0" w:line="282" w:lineRule="auto"/>
        <w:rPr>
          <w:sz w:val="20"/>
          <w:szCs w:val="20"/>
          <w:color w:val="auto"/>
        </w:rPr>
      </w:pPr>
      <w:r>
        <w:rPr>
          <w:rFonts w:ascii="Times New Roman" w:cs="Times New Roman" w:eastAsia="Times New Roman" w:hAnsi="Times New Roman"/>
          <w:sz w:val="18"/>
          <w:szCs w:val="18"/>
          <w:color w:val="auto"/>
        </w:rPr>
        <w:t>Mr. Baxter’s significant experience in finance, accounting, as an investor and as a senior investment banker focused in the energy industry, among other factors, led the Board to conclude that he should serve as a director of Kestrel Heat.</w:t>
      </w:r>
    </w:p>
    <w:p>
      <w:pPr>
        <w:spacing w:after="0" w:line="158" w:lineRule="exact"/>
        <w:rPr>
          <w:sz w:val="20"/>
          <w:szCs w:val="20"/>
          <w:color w:val="auto"/>
        </w:rPr>
      </w:pPr>
    </w:p>
    <w:p>
      <w:pPr>
        <w:ind w:right="220" w:firstLine="58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 Bauer. </w:t>
      </w:r>
      <w:r>
        <w:rPr>
          <w:rFonts w:ascii="Times New Roman" w:cs="Times New Roman" w:eastAsia="Times New Roman" w:hAnsi="Times New Roman"/>
          <w:sz w:val="18"/>
          <w:szCs w:val="18"/>
          <w:color w:val="auto"/>
        </w:rPr>
        <w:t>Mr. Bauer has served as the Chief Investment Officer of Lubar &amp; Co. since 2005. Mr. Bauer’s work experience includes five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with Facilitator Capital Fund, a Wisconsin-based Small Business Investment Company, and 10 years with the accounting firm of Arthur Andersen, where he led the Wisconsin transaction advisory team assisting private equity funds and large corporations with their acquisitions and divestitures. He currently serves on the board of several private companies.</w:t>
      </w:r>
    </w:p>
    <w:p>
      <w:pPr>
        <w:spacing w:after="0" w:line="180"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Mr. Bauer earned a Master of Business Administration degree from Marquette University in 2005 and a Bachelor of Science degree in Accounting from Marquette University in 1991. He is a Certified Public Accountant and a member of the Wisconsin Institute of CPAs and the American Institute of CPAs</w:t>
      </w:r>
      <w:r>
        <w:rPr>
          <w:rFonts w:ascii="Times New Roman" w:cs="Times New Roman" w:eastAsia="Times New Roman" w:hAnsi="Times New Roman"/>
          <w:sz w:val="18"/>
          <w:szCs w:val="18"/>
          <w:color w:val="212121"/>
        </w:rPr>
        <w:t>.</w:t>
      </w:r>
    </w:p>
    <w:p>
      <w:pPr>
        <w:spacing w:after="0" w:line="172"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P. Donovan. </w:t>
      </w:r>
      <w:r>
        <w:rPr>
          <w:rFonts w:ascii="Times New Roman" w:cs="Times New Roman" w:eastAsia="Times New Roman" w:hAnsi="Times New Roman"/>
          <w:sz w:val="18"/>
          <w:szCs w:val="18"/>
          <w:color w:val="auto"/>
        </w:rPr>
        <w:t>Mr. Donovan has been a director of Kestrel Heat since April 28, 2006. Mr Donovan served as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on an interim basis from December 23, 2018 to March 18, 2019, served as consultant from March 18, 2019 to April 30, 2019, and served as Chief Executive Officer of Kestrel Heat from May 31, 2007 to September 30, 2013 and had been President from April 28, 2006 to September 30, 2013. From April 28, 2006 to May 30, 2007 Mr. Donovan was also the Chief Operating Officer of Kestrel Heat. Mr. Donovan was the President and Chief Operating Officer of a predecessor general partner, Star Gas LLC (“Star Gas”), from March 2005 until April 28, 2006. From May 2004 to March 2005 he was President and Chief Operating Officer of the Company’s heating oil segment. Mr. Donovan held various management positions with Meenan Oil Co. LP, from January 1980 to May 2004, including Vice President and General Manager from 1998 to 2004. Mr. Donovan worked for Mobil Oil Corp. from 1971 to 1980. His last position with Mobil was President and General Manager of its heating oil subsidiary in New York City and Long Island. Mr. Donovan is a graduate of St. Francis College in Brooklyn, New York and received an M.B.A. from Iona College.</w:t>
      </w:r>
    </w:p>
    <w:p>
      <w:pPr>
        <w:spacing w:after="0" w:line="192"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Mr. Donovan’s in-depth knowledge of the Company’s business, having been its president and chief executive officer, and his substantial experience in the home heating oil industry, among other factors, led the Board to conclude that he should serve as a director of Kestrel Heat.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1" w:name="page52"/>
    <w:bookmarkEnd w:id="51"/>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Bryan H. Lawrence. </w:t>
      </w:r>
      <w:r>
        <w:rPr>
          <w:rFonts w:ascii="Times New Roman" w:cs="Times New Roman" w:eastAsia="Times New Roman" w:hAnsi="Times New Roman"/>
          <w:sz w:val="18"/>
          <w:szCs w:val="18"/>
          <w:color w:val="auto"/>
        </w:rPr>
        <w:t>Mr. Lawrence has been a director of Kestrel Heat since April 28, 2006 and a manager of Kestrel since July 2005.</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Mr. Lawrence is a founder and senior manager of Yorktown Partners LLC, the manager of the Yorktown group of investment partnerships, which make investments in companies engaged in the energy industry. The Yorktown partnerships were formerly affiliated with the investment firm of Dillon, Read &amp; Co. Inc., where Mr. Lawrence was employed beginning in 1966, serving as a Managing Director until the merger of Dillon Read with SBC Warburg in September 1997. Mr. Lawrence also serves as a director of Hallador Petroleum Company, Ramaco Resources, Inc. (each a United States publicly traded company), and certain non-public companies in the energy industry in which Yorktown partnerships hold equity interests. Mr. Lawrence is a graduate of Hamilton College and received an M.B.A. from Columbia University.</w:t>
      </w:r>
    </w:p>
    <w:p>
      <w:pPr>
        <w:spacing w:after="0" w:line="190" w:lineRule="exact"/>
        <w:rPr>
          <w:sz w:val="20"/>
          <w:szCs w:val="20"/>
          <w:color w:val="auto"/>
        </w:rPr>
      </w:pPr>
    </w:p>
    <w:p>
      <w:pPr>
        <w:ind w:right="380" w:firstLine="589"/>
        <w:spacing w:after="0" w:line="282" w:lineRule="auto"/>
        <w:rPr>
          <w:sz w:val="20"/>
          <w:szCs w:val="20"/>
          <w:color w:val="auto"/>
        </w:rPr>
      </w:pPr>
      <w:r>
        <w:rPr>
          <w:rFonts w:ascii="Times New Roman" w:cs="Times New Roman" w:eastAsia="Times New Roman" w:hAnsi="Times New Roman"/>
          <w:sz w:val="18"/>
          <w:szCs w:val="18"/>
          <w:color w:val="auto"/>
        </w:rPr>
        <w:t>Mr. Lawrence’s significant financial and investment experience, and experience as a founder of Yorktown Energy Partners LLC, among other factors, led the Board to conclude that he should serve as a director of Kestrel Heat.</w:t>
      </w:r>
    </w:p>
    <w:p>
      <w:pPr>
        <w:spacing w:after="0" w:line="158" w:lineRule="exact"/>
        <w:rPr>
          <w:sz w:val="20"/>
          <w:szCs w:val="20"/>
          <w:color w:val="auto"/>
        </w:rPr>
      </w:pPr>
    </w:p>
    <w:p>
      <w:pPr>
        <w:ind w:firstLine="58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P. Nicoletti. </w:t>
      </w:r>
      <w:r>
        <w:rPr>
          <w:rFonts w:ascii="Times New Roman" w:cs="Times New Roman" w:eastAsia="Times New Roman" w:hAnsi="Times New Roman"/>
          <w:sz w:val="18"/>
          <w:szCs w:val="18"/>
          <w:color w:val="auto"/>
        </w:rPr>
        <w:t>Mr. Nicoletti has been a director of Kestrel Heat since April 28, 2006. Mr. Nicoletti was the non-executive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Star Gas from March 2005 until April 28, 2006. Mr. Nicoletti was a director of Star Gas from March 1999 until April 28, 2006 and was a director of Star Gas Corporation from November 1995 until March 1999. Since February 1, 2009, he has been a Managing Director of Parkman Whaling LLC, a Houston, Texas based energy investment banking firm. Previously, he was Managing Director of Nicoletti &amp; Company, Inc., a private investment banking firm. Mr. Nicoletti was formerly a senior officer and head of Energy Investment Banking for E. F. Hutton &amp; Company, Inc., PaineWebber Incorporated and McDonald Investments, Inc. Mr. Nicoletti is a graduate of Seton Hall University and received an M.B.A. from Columbia University.</w:t>
      </w:r>
    </w:p>
    <w:p>
      <w:pPr>
        <w:spacing w:after="0" w:line="186" w:lineRule="exact"/>
        <w:rPr>
          <w:sz w:val="20"/>
          <w:szCs w:val="20"/>
          <w:color w:val="auto"/>
        </w:rPr>
      </w:pPr>
    </w:p>
    <w:p>
      <w:pPr>
        <w:ind w:right="600" w:firstLine="589"/>
        <w:spacing w:after="0" w:line="312" w:lineRule="auto"/>
        <w:rPr>
          <w:sz w:val="20"/>
          <w:szCs w:val="20"/>
          <w:color w:val="auto"/>
        </w:rPr>
      </w:pPr>
      <w:r>
        <w:rPr>
          <w:rFonts w:ascii="Times New Roman" w:cs="Times New Roman" w:eastAsia="Times New Roman" w:hAnsi="Times New Roman"/>
          <w:sz w:val="17"/>
          <w:szCs w:val="17"/>
          <w:color w:val="auto"/>
        </w:rPr>
        <w:t>Mr. Nicoletti’s current and prior leadership experience in the energy investment banking industry and his significant experience in finance, accounting and corporate governance matters, among other factors, led the Board to conclude that he should serve as a director of Kestrel Heat.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 xml:space="preserve">Section 303A of the New York Stock Exchange listed company manual provides that limited partnerships are not required to have a majority of independent directors. It is the policy of the Board of Directors that the Board shall at all times have at least three independent directors or such higher number as may be necessary to comply with the applicable federal securities law requirements. For the purposes of this policy, “independent director” has the meaning set forth in Section 10A(m) of the Securities Exchange Act of 1934, as amended, any applicable stock exchange rules and the rules and regulations promulgated in the Partnership governance guidelines available on its website </w:t>
      </w:r>
      <w:r>
        <w:rPr>
          <w:rFonts w:ascii="Times New Roman" w:cs="Times New Roman" w:eastAsia="Times New Roman" w:hAnsi="Times New Roman"/>
          <w:sz w:val="18"/>
          <w:szCs w:val="18"/>
          <w:u w:val="single" w:color="auto"/>
          <w:color w:val="auto"/>
        </w:rPr>
        <w:t>www.stargrouplp.com</w:t>
      </w:r>
      <w:r>
        <w:rPr>
          <w:rFonts w:ascii="Times New Roman" w:cs="Times New Roman" w:eastAsia="Times New Roman" w:hAnsi="Times New Roman"/>
          <w:sz w:val="18"/>
          <w:szCs w:val="18"/>
          <w:color w:val="auto"/>
        </w:rPr>
        <w:t>. The Board of Directors has determined that Messrs. Nicoletti, Babcock, Bauer and Baxter are independent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Directors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During fiscal 2020, the Board of Directors of Kestrel Heat met five times. All directors attended each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right="260" w:firstLine="589"/>
        <w:spacing w:after="0" w:line="266" w:lineRule="auto"/>
        <w:rPr>
          <w:sz w:val="20"/>
          <w:szCs w:val="20"/>
          <w:color w:val="auto"/>
        </w:rPr>
      </w:pPr>
      <w:r>
        <w:rPr>
          <w:rFonts w:ascii="Times New Roman" w:cs="Times New Roman" w:eastAsia="Times New Roman" w:hAnsi="Times New Roman"/>
          <w:sz w:val="18"/>
          <w:szCs w:val="18"/>
          <w:color w:val="auto"/>
        </w:rPr>
        <w:t>Kestrel Heat’s Board of Directors has one standing committee, the Audit Committee. Its members are appointed by the Board of Directors for a one-year term and until their respective successors are elected. The NYSE corporate governance standards do not require limited partnerships to have a Nominating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280" w:firstLine="589"/>
        <w:spacing w:after="0" w:line="261" w:lineRule="auto"/>
        <w:rPr>
          <w:sz w:val="20"/>
          <w:szCs w:val="20"/>
          <w:color w:val="auto"/>
        </w:rPr>
      </w:pPr>
      <w:r>
        <w:rPr>
          <w:rFonts w:ascii="Times New Roman" w:cs="Times New Roman" w:eastAsia="Times New Roman" w:hAnsi="Times New Roman"/>
          <w:sz w:val="18"/>
          <w:szCs w:val="18"/>
          <w:color w:val="auto"/>
        </w:rPr>
        <w:t xml:space="preserve">William P. Nicoletti, Henry D. Babcock, </w:t>
      </w:r>
      <w:r>
        <w:rPr>
          <w:rFonts w:ascii="Times New Roman" w:cs="Times New Roman" w:eastAsia="Times New Roman" w:hAnsi="Times New Roman"/>
          <w:sz w:val="18"/>
          <w:szCs w:val="18"/>
          <w:color w:val="212121"/>
        </w:rPr>
        <w:t>David M. Bauer</w:t>
      </w:r>
      <w:r>
        <w:rPr>
          <w:rFonts w:ascii="Times New Roman" w:cs="Times New Roman" w:eastAsia="Times New Roman" w:hAnsi="Times New Roman"/>
          <w:sz w:val="18"/>
          <w:szCs w:val="18"/>
          <w:color w:val="auto"/>
        </w:rPr>
        <w:t xml:space="preserve"> and C. Scott Baxter have been appointed to serve on the Audit Committee, which has adopted an Audit Committee Charter. Mr. Nicoletti serves as chairman of the Audit Committee. A copy of this charter is available on the Company’s website at </w:t>
      </w:r>
      <w:r>
        <w:rPr>
          <w:rFonts w:ascii="Times New Roman" w:cs="Times New Roman" w:eastAsia="Times New Roman" w:hAnsi="Times New Roman"/>
          <w:sz w:val="18"/>
          <w:szCs w:val="18"/>
          <w:u w:val="single" w:color="auto"/>
          <w:color w:val="auto"/>
        </w:rPr>
        <w:t>www.stargrouplp.com</w:t>
      </w:r>
      <w:r>
        <w:rPr>
          <w:rFonts w:ascii="Times New Roman" w:cs="Times New Roman" w:eastAsia="Times New Roman" w:hAnsi="Times New Roman"/>
          <w:sz w:val="18"/>
          <w:szCs w:val="18"/>
          <w:color w:val="auto"/>
        </w:rPr>
        <w:t xml:space="preserve"> or a copy may be obtained without charge by contacting Richard F. Ambury at (203) 328-7310. The Audit Committee reviews the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2" w:name="page53"/>
    <w:bookmarkEnd w:id="52"/>
    <w:p>
      <w:pPr>
        <w:ind w:right="380"/>
        <w:spacing w:after="0" w:line="282" w:lineRule="auto"/>
        <w:rPr>
          <w:sz w:val="20"/>
          <w:szCs w:val="20"/>
          <w:color w:val="auto"/>
        </w:rPr>
      </w:pPr>
      <w:r>
        <w:rPr>
          <w:rFonts w:ascii="Times New Roman" w:cs="Times New Roman" w:eastAsia="Times New Roman" w:hAnsi="Times New Roman"/>
          <w:sz w:val="18"/>
          <w:szCs w:val="18"/>
          <w:color w:val="auto"/>
        </w:rPr>
        <w:t>external financial reporting of the Company, selects and engages the Company’s independent registered public accountants and approves all non-audit engagements of the independent registered public accountants.</w:t>
      </w:r>
    </w:p>
    <w:p>
      <w:pPr>
        <w:spacing w:after="0" w:line="162"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Members of the Audit Committee may not be employees of Kestrel Heat or its affiliated companies and must otherwise meet the New York Stock Exchange and SEC independence requirements for service on the Audit Committee. The Board of Directors has determined that Messrs. Nicoletti, Babcock, Bauer and Baxter are independent directors in that they do not have any material relationships with the Company (either directly, or as a partner, shareholder or officer of an organization that has a relationship with the Company) and they otherwise meet the independence requirements of the NYSE and the SEC. The Company’s Board of Directors has also determined that at least one member of the Audit Committee, Mr. Nicoletti, meets the SEC criteria of an “audit committee financial expert.” Please see Mr. Nicoletti’s biography under “Directors and Officers of the General Partner” for his relevant experience regarding his qualifications as an “audit committee financial expert.”</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During fiscal 2020, the Audit Committee of Kestrel Heat, LLC met five times. All directors attended each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Expenses of the General Partner</w:t>
      </w:r>
    </w:p>
    <w:p>
      <w:pPr>
        <w:spacing w:after="0" w:line="121"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The general partner does not receive any management fee or other compensation for its management of the Company. The general partner is reimbursed for all expenses incurred on behalf of the Company, including the cost of compensation that are properly allocable to the Company. The Partnership Agreement provides that the general partner shall determine the expenses that are allocable to the Company in any reasonable manner determined by the general partner in its sole discretion. In addition, the general partner and its affiliates may provide services to the Company for which a reasonable fee would be charged as determined by the general partner. There were no reimbursements of the General Partner in fiscal year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Code of Business Conduct and Ethics</w:t>
      </w:r>
    </w:p>
    <w:p>
      <w:pPr>
        <w:spacing w:after="0" w:line="121"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officers and employees and our directors. A copy of the Code of Business Conduct and Ethics is available on our website at www.stargrouplp.com or a copy may be obtained without charge, by contacting Investor Relations, (203) 328-7310.</w:t>
      </w:r>
    </w:p>
    <w:p>
      <w:pPr>
        <w:spacing w:after="0" w:line="176" w:lineRule="exact"/>
        <w:rPr>
          <w:sz w:val="20"/>
          <w:szCs w:val="20"/>
          <w:color w:val="auto"/>
        </w:rPr>
      </w:pPr>
    </w:p>
    <w:p>
      <w:pPr>
        <w:ind w:right="440" w:firstLine="589"/>
        <w:spacing w:after="0" w:line="282" w:lineRule="auto"/>
        <w:rPr>
          <w:sz w:val="20"/>
          <w:szCs w:val="20"/>
          <w:color w:val="auto"/>
        </w:rPr>
      </w:pPr>
      <w:r>
        <w:rPr>
          <w:rFonts w:ascii="Times New Roman" w:cs="Times New Roman" w:eastAsia="Times New Roman" w:hAnsi="Times New Roman"/>
          <w:sz w:val="18"/>
          <w:szCs w:val="18"/>
          <w:color w:val="auto"/>
        </w:rPr>
        <w:t>We intend to post amendments to or waivers of our Code of Business Conduct and Ethics (to the extent applicable to any executive officer or director)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340" w:firstLine="589"/>
        <w:spacing w:after="0" w:line="282" w:lineRule="auto"/>
        <w:rPr>
          <w:sz w:val="20"/>
          <w:szCs w:val="20"/>
          <w:color w:val="auto"/>
        </w:rPr>
      </w:pPr>
      <w:r>
        <w:rPr>
          <w:rFonts w:ascii="Times New Roman" w:cs="Times New Roman" w:eastAsia="Times New Roman" w:hAnsi="Times New Roman"/>
          <w:sz w:val="18"/>
          <w:szCs w:val="18"/>
          <w:color w:val="auto"/>
        </w:rPr>
        <w:t>Based on copies of reports furnished to us, we believe that during fiscal year 2020, all reporting persons complied with the Section 16(a) filing requirements applicable to them.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Non-Management Directors and Interested Party Communications</w:t>
      </w:r>
    </w:p>
    <w:p>
      <w:pPr>
        <w:spacing w:after="0" w:line="121" w:lineRule="exact"/>
        <w:rPr>
          <w:sz w:val="20"/>
          <w:szCs w:val="20"/>
          <w:color w:val="auto"/>
        </w:rPr>
      </w:pPr>
    </w:p>
    <w:p>
      <w:pPr>
        <w:jc w:val="both"/>
        <w:ind w:firstLine="589"/>
        <w:spacing w:after="0" w:line="261" w:lineRule="auto"/>
        <w:rPr>
          <w:sz w:val="20"/>
          <w:szCs w:val="20"/>
          <w:color w:val="auto"/>
        </w:rPr>
      </w:pPr>
      <w:r>
        <w:rPr>
          <w:rFonts w:ascii="Times New Roman" w:cs="Times New Roman" w:eastAsia="Times New Roman" w:hAnsi="Times New Roman"/>
          <w:sz w:val="18"/>
          <w:szCs w:val="18"/>
          <w:color w:val="auto"/>
        </w:rPr>
        <w:t>The non-management directors on the Board of Directors of the general partner are Messrs. Babcock, Bauer, Baxter, Donovan, Lawrence, Nicoletti and Vermylen. The non-management directors have selected Mr. Vermylen, the Chairman of the Board, to serve as lead director to chair executive sessions of the non-management directors. Interested parties who wish to contact the non-management directors as a group may do so by contacting Paul A. Vermylen, Jr. c/o Star Group, L.P., 9 West Broad Street, Suite 310, Stamford, CT 06902.</w:t>
      </w:r>
    </w:p>
    <w:p>
      <w:pPr>
        <w:spacing w:after="0" w:line="28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Our Third Amended and Restated Agreement of Limited Partnership, provides that our general partner, Kestrel Heat, shall conduct, direct and manage all activities of the Company. The limited liability company agreement of the general partner provides that the business of the general partner shall be managed by a Board of Directors. The responsibility of the Board is to supervise and direct the management of the Company in the interest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3" w:name="page54"/>
    <w:bookmarkEnd w:id="53"/>
    <w:p>
      <w:pPr>
        <w:ind w:right="120"/>
        <w:spacing w:after="0" w:line="266" w:lineRule="auto"/>
        <w:rPr>
          <w:sz w:val="20"/>
          <w:szCs w:val="20"/>
          <w:color w:val="auto"/>
        </w:rPr>
      </w:pPr>
      <w:r>
        <w:rPr>
          <w:rFonts w:ascii="Times New Roman" w:cs="Times New Roman" w:eastAsia="Times New Roman" w:hAnsi="Times New Roman"/>
          <w:sz w:val="18"/>
          <w:szCs w:val="18"/>
          <w:color w:val="auto"/>
        </w:rPr>
        <w:t>and for the benefit of our unitholders. Among the Board’s responsibilities is to regularly evaluate the performance and to approve the compensation of the Chief Executive Officer and, with the advice of the Chief Executive Officer, regularly evaluate the performance and approve the compensation of key executives.</w:t>
      </w:r>
    </w:p>
    <w:p>
      <w:pPr>
        <w:spacing w:after="0" w:line="176"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As a limited partnership that is listed on the New York Stock Exchange, we are not required to have a Compensation Committee. Since the Chairman of the general partner and the majority of the Board are not employees, the Board determined that it has adequate independence to act in the capacity of a Compensation Committee to establish and review the compensation our executive officers and directors. The Board is comprised of Paul A. Vermylen Jr. (Chairman), Jeffrey M. Woosnam (President and Chief Executive Officer), Daniel P. Donovan, Henry D. Babcock, David M. Bauer, C. Scott Baxter, Bryan H. Lawrence, and William P. Nicoletti.</w:t>
      </w:r>
    </w:p>
    <w:p>
      <w:pPr>
        <w:spacing w:after="0" w:line="183"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Throughout this Report, each person who served as chief executive officer (“CEO”) during fiscal 2020, each person who served as chief financial officer (“CFO”) during fiscal 2020 and the two other most highly compensated executive officers serving at September 30, 2020 (there being no other executive officers) are referred to as the “named executive officers” and are included in the Executive Compensation Table.</w:t>
      </w:r>
    </w:p>
    <w:p>
      <w:pPr>
        <w:spacing w:after="0" w:line="176" w:lineRule="exact"/>
        <w:rPr>
          <w:sz w:val="20"/>
          <w:szCs w:val="20"/>
          <w:color w:val="auto"/>
        </w:rPr>
      </w:pPr>
    </w:p>
    <w:p>
      <w:pPr>
        <w:ind w:right="500" w:firstLine="589"/>
        <w:spacing w:after="0" w:line="282" w:lineRule="auto"/>
        <w:rPr>
          <w:sz w:val="20"/>
          <w:szCs w:val="20"/>
          <w:color w:val="auto"/>
        </w:rPr>
      </w:pPr>
      <w:r>
        <w:rPr>
          <w:rFonts w:ascii="Times New Roman" w:cs="Times New Roman" w:eastAsia="Times New Roman" w:hAnsi="Times New Roman"/>
          <w:sz w:val="18"/>
          <w:szCs w:val="18"/>
          <w:color w:val="auto"/>
        </w:rPr>
        <w:t>In this Compensation Discussion and Analysis, we address the compensation paid or awarded to Messrs. Woosnam, Ambury, Hammond and McDonald. We refer to these executive officers as our “named executive officers.”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Compensation decisions for the above named executive officers were made by the Board of Directors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Policies</w:t>
      </w:r>
    </w:p>
    <w:p>
      <w:pPr>
        <w:spacing w:after="0" w:line="121"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The primary objectives of our compensation program, including compensation of the named executive officers, are to attract and retain highly qualified officers, employees and directors and to reward individual contributions to our success. The Board of Directors considers the following policies in determining the compensation of the named executive officers:</w:t>
      </w:r>
    </w:p>
    <w:p>
      <w:pPr>
        <w:spacing w:after="0" w:line="68" w:lineRule="exact"/>
        <w:rPr>
          <w:sz w:val="20"/>
          <w:szCs w:val="20"/>
          <w:color w:val="auto"/>
        </w:rPr>
      </w:pPr>
    </w:p>
    <w:p>
      <w:pPr>
        <w:ind w:left="1020" w:right="20" w:hanging="43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related to the performance of the individual executive and the performance measured against both financial and non-financial achievements;</w:t>
      </w:r>
    </w:p>
    <w:p>
      <w:pPr>
        <w:spacing w:after="0" w:line="53" w:lineRule="exact"/>
        <w:rPr>
          <w:rFonts w:ascii="Times New Roman" w:cs="Times New Roman" w:eastAsia="Times New Roman" w:hAnsi="Times New Roman"/>
          <w:sz w:val="18"/>
          <w:szCs w:val="18"/>
          <w:color w:val="auto"/>
        </w:rPr>
      </w:pPr>
    </w:p>
    <w:p>
      <w:pPr>
        <w:ind w:left="1020" w:right="220" w:hanging="43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levels should be competitive to ensure that we will be able to attract, motivate and retain highly qualified executive officers; and</w:t>
      </w:r>
    </w:p>
    <w:p>
      <w:pPr>
        <w:spacing w:after="0" w:line="53"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related to improving unitholder value over time.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Compensation Methodology</w:t>
      </w:r>
    </w:p>
    <w:p>
      <w:pPr>
        <w:spacing w:after="0" w:line="121"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The elements of our compensation program for named executive officers are intended to provide a total incentive package designed to drive performance and reward contributions in support of business strategies at the Company. Subject to the terms of employment agreements that have been entered into with the named executive officers, all compensation determinations are discretionary and subject to the decision-making authority of the Board of Directors. We do not use benchmarking as a fixed criterion to determine compensation. Rather, after subjectively setting compensation based on the policies discussed above under “Compensation Philosophy and Policies”, we reviewed the compensation paid to officers holding similar positions at our peer group companies and certain information for privately held companies to obtain a general understanding of the reasonableness of base salaries and other compensation payable to our named executive officers. Our peer group of public companies was comprised of the following companies: Atmos Energy Corporation, Global Partners, L.P., New Jersey Resources Corporation, Sprague Resources, L.P. and Suburban Propane Partners, L.P. We chose these companies because they are engaged in the distribution of energy products like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fiscal year ended September 30, 2020, the principal components of compensation for the named executive officers were:</w:t>
      </w:r>
    </w:p>
    <w:p>
      <w:pPr>
        <w:spacing w:after="0" w:line="117" w:lineRule="exact"/>
        <w:rPr>
          <w:sz w:val="20"/>
          <w:szCs w:val="20"/>
          <w:color w:val="auto"/>
        </w:rPr>
      </w:pPr>
    </w:p>
    <w:p>
      <w:pPr>
        <w:ind w:left="1020" w:hanging="43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discretionary profit sharing allocation;</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incentive compensation plan;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health benefits.</w:t>
      </w:r>
    </w:p>
    <w:p>
      <w:pPr>
        <w:spacing w:after="0" w:line="225" w:lineRule="exact"/>
        <w:rPr>
          <w:sz w:val="20"/>
          <w:szCs w:val="20"/>
          <w:color w:val="auto"/>
        </w:rPr>
      </w:pPr>
    </w:p>
    <w:p>
      <w:pPr>
        <w:jc w:val="both"/>
        <w:ind w:right="380" w:firstLine="589"/>
        <w:spacing w:after="0" w:line="266" w:lineRule="auto"/>
        <w:rPr>
          <w:sz w:val="20"/>
          <w:szCs w:val="20"/>
          <w:color w:val="auto"/>
        </w:rPr>
      </w:pPr>
      <w:r>
        <w:rPr>
          <w:rFonts w:ascii="Times New Roman" w:cs="Times New Roman" w:eastAsia="Times New Roman" w:hAnsi="Times New Roman"/>
          <w:sz w:val="18"/>
          <w:szCs w:val="18"/>
          <w:color w:val="auto"/>
        </w:rPr>
        <w:t>Under our compensation structure, the mix of base salary, discretionary profit sharing allocation and long-term compensation provided to each executive officer varies depending on their position. The base salary for each executive officer is the only fixed component of compensation. All other compensation, including annual discretionary profit sharing allocation and long-term incentive compensation, is variable in nature.</w:t>
      </w:r>
    </w:p>
    <w:p>
      <w:pPr>
        <w:spacing w:after="0" w:line="176"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The majority of the Company’s compensation allocation is weighted towards base salary and annual discretionary profit sharing allocation. In addition, during fiscal 2020, an aggregate of $349,494 was paid to the named executive officers under the terms of the management incentive compensation plan and represented a small portion of the executive compensation that was paid to these officers. If we are successful in increasing the overall level of distributions payable to unitholders, the amounts payable to the named executive officers under the management incentive compensation plan should increase.</w:t>
      </w:r>
    </w:p>
    <w:p>
      <w:pPr>
        <w:spacing w:after="0" w:line="183"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We believe that together all of our compensation components provide a balanced mix of fixed compensation and compensation that is contingent upon each executive officer’s individual performance and our overall performance. A goal of the compensation program is to provide executive officers with a reasonable level of security through base salary and benefits, while rewarding them through incentive compensation to achieve business objectives and create unitholder value over time. We believe that each of our compensation components is important in achieving this goal. Base salaries provide executives with a base level of monthly income and security. Annual discretionary profit sharing allocations and long-term incentive awards provide an incentive to our executives to achieve business objectives that increase our financial performance, which creates unitholder value through continuity of, and increases in, distributions and increases in the market value of the units. In addition, we want to ensure that our compensation programs are appropriately designed to encourage executive officer retention, which is accomplished through all of our compensation elements.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Board of Directors establishes base salaries for the named executive officers based on a number of factors, including:</w:t>
      </w:r>
    </w:p>
    <w:p>
      <w:pPr>
        <w:spacing w:after="0" w:line="117" w:lineRule="exact"/>
        <w:rPr>
          <w:sz w:val="20"/>
          <w:szCs w:val="20"/>
          <w:color w:val="auto"/>
        </w:rPr>
      </w:pPr>
    </w:p>
    <w:p>
      <w:pPr>
        <w:ind w:left="1020" w:hanging="432"/>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salaries for services rendered to the Company and responsibilities of the named executive officer;</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salaries of equivalent executive officers at our peer group companies and other data for our industry;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levels of compensation and cost of living in the location in which the named executive officer works.</w:t>
      </w:r>
    </w:p>
    <w:p>
      <w:pPr>
        <w:spacing w:after="0" w:line="225" w:lineRule="exact"/>
        <w:rPr>
          <w:sz w:val="20"/>
          <w:szCs w:val="20"/>
          <w:color w:val="auto"/>
        </w:rPr>
      </w:pPr>
    </w:p>
    <w:p>
      <w:pPr>
        <w:ind w:right="180" w:firstLine="589"/>
        <w:spacing w:after="0" w:line="258" w:lineRule="auto"/>
        <w:rPr>
          <w:sz w:val="20"/>
          <w:szCs w:val="20"/>
          <w:color w:val="auto"/>
        </w:rPr>
      </w:pPr>
      <w:r>
        <w:rPr>
          <w:rFonts w:ascii="Times New Roman" w:cs="Times New Roman" w:eastAsia="Times New Roman" w:hAnsi="Times New Roman"/>
          <w:sz w:val="18"/>
          <w:szCs w:val="18"/>
          <w:color w:val="auto"/>
        </w:rPr>
        <w:t>In determining the initial base compensation payable to individual named executive officers when they are first hired by Star, our starting point is the historical compensation levels that we have paid to officers performing similar functions over the past few years. We also consider the level of experience and accomplishments of individual candidates and general labor market conditions, including the availability of candidates to fill a particular position. When we make adjustments to the base salaries of existing named executive officers, we review the individual’s performance, the value each named executive officer brings to us and general labor market conditions.</w:t>
      </w:r>
    </w:p>
    <w:p>
      <w:pPr>
        <w:spacing w:after="0" w:line="183"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Elements of individual performance considered, among others, without any specific weight given to each element, include business-related accomplishments during the year, difficulty and scope of responsibilities, effective leadership, experience, expected future contributions to the Company and difficulty of replacement. While base salary provides a base level of compensation intended to be competitive with the external market, the base salary for each named executive officer is determined on a subjective basis after consideration of these factors and is not based on target percentiles or other formal criteria. Although we believe that base salaries for our named executive officers are generally competitive with the external market, we do not use benchmarking as a fixed criterion to determine base compensation. Rather, after subjectively setting base salaries based on the above factors, we review the compensation paid to officers holding similar positions at our peer group companies to obtain a general understanding of the reasonableness of base salaries and other compensation payable to our named executive officers. We also take into account geographic differences for similar positions in the New York Metropolitan area. While cost of living is considered in determining annual increases, we do not typically provide full cost of living adjustments as salary increases are constrained by budgetary restrictions and the ability to fund the Company’s current cash needs such as interest expense, maintenance capital, income taxes and distributions.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 Sharing Allocations</w:t>
      </w:r>
    </w:p>
    <w:p>
      <w:pPr>
        <w:spacing w:after="0" w:line="119" w:lineRule="exact"/>
        <w:rPr>
          <w:sz w:val="20"/>
          <w:szCs w:val="20"/>
          <w:color w:val="auto"/>
        </w:rPr>
      </w:pPr>
    </w:p>
    <w:p>
      <w:pPr>
        <w:ind w:right="160" w:firstLine="589"/>
        <w:spacing w:after="0" w:line="256" w:lineRule="auto"/>
        <w:rPr>
          <w:sz w:val="20"/>
          <w:szCs w:val="20"/>
          <w:color w:val="auto"/>
        </w:rPr>
      </w:pPr>
      <w:r>
        <w:rPr>
          <w:rFonts w:ascii="Times New Roman" w:cs="Times New Roman" w:eastAsia="Times New Roman" w:hAnsi="Times New Roman"/>
          <w:sz w:val="18"/>
          <w:szCs w:val="18"/>
          <w:color w:val="auto"/>
        </w:rPr>
        <w:t>We maintain a profit sharing pool for certain employees, including named executive officers, which is equal to approximately 6% of our earnings before income taxes, depreciation and amortization, excluding items affecting comparability (“adjusted EBITDA”) for the given fiscal year. The annual discretionary profit sharing allocations paid to the named executive officers are payable from this pool. The size of the pool fluctuates based upon upward or downwards changes in adjusted EBITDA and the size of an individual award to a named executive officer fluctuates based on the size of the profit sharing pool and the number of participants in the plan. Depending upon the size of the profit sharing pool, and the number of participants in the plan, the amount paid to the named executive officers could be more or less.</w:t>
      </w:r>
    </w:p>
    <w:p>
      <w:pPr>
        <w:spacing w:after="0" w:line="187"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There are no set formulas for determining the amount payable to our named executive officers from the profit sharing plan. Factors considered by our CEO and the Board in determining the level of profit sharing allocations generally include, without assigning a particular weight to any factor:</w:t>
      </w:r>
    </w:p>
    <w:p>
      <w:pPr>
        <w:spacing w:after="0" w:line="54" w:lineRule="exact"/>
        <w:rPr>
          <w:sz w:val="20"/>
          <w:szCs w:val="20"/>
          <w:color w:val="auto"/>
        </w:rPr>
      </w:pPr>
    </w:p>
    <w:p>
      <w:pPr>
        <w:ind w:left="1020" w:right="120" w:hanging="432"/>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achieved certain budgeted goals for the year and any material shortfalls or superior performances relative to expectations. Under the plan, no profit sharing was payable with respect to fiscal 2020 unless we achieved actual adjusted EBITDA for fiscal 2020 of at least 70% of the amount of budgeted adjusted EBITDA for fiscal 2020;</w:t>
      </w:r>
    </w:p>
    <w:p>
      <w:pPr>
        <w:spacing w:after="0" w:line="6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difficulty associated with achieving such objectives based on the opportunities and challenges encountered during the year; and</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transactions or accomplishments for the period not included in the goals for the year.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6" w:name="page57"/>
    <w:bookmarkEnd w:id="56"/>
    <w:p>
      <w:pPr>
        <w:ind w:firstLine="589"/>
        <w:spacing w:after="0" w:line="258" w:lineRule="auto"/>
        <w:rPr>
          <w:sz w:val="20"/>
          <w:szCs w:val="20"/>
          <w:color w:val="auto"/>
        </w:rPr>
      </w:pPr>
      <w:r>
        <w:rPr>
          <w:rFonts w:ascii="Times New Roman" w:cs="Times New Roman" w:eastAsia="Times New Roman" w:hAnsi="Times New Roman"/>
          <w:sz w:val="18"/>
          <w:szCs w:val="18"/>
          <w:color w:val="auto"/>
        </w:rPr>
        <w:t>Our CEO takes these factors into consideration as well as the relative contributions of each of the named executive officers to the year’s performance in developing his recommendations for profit sharing amounts. Based on such assessment, our CEO submits recommendations to the Board of Directors for the annual profit sharing amounts to be paid to our named executive officers (other than the CEO), for the Board’s review and approval. Similarly, the Chairman assesses the CEO’s contribution toward meeting the Company’s goals based upon the above factors, and recommends to the Board of Directors a profit sharing allocation for the CEO it believes to be commensurate with such contribution.</w:t>
      </w:r>
    </w:p>
    <w:p>
      <w:pPr>
        <w:spacing w:after="0" w:line="183" w:lineRule="exact"/>
        <w:rPr>
          <w:sz w:val="20"/>
          <w:szCs w:val="20"/>
          <w:color w:val="auto"/>
        </w:rPr>
      </w:pPr>
    </w:p>
    <w:p>
      <w:pPr>
        <w:ind w:right="640" w:firstLine="589"/>
        <w:spacing w:after="0" w:line="282" w:lineRule="auto"/>
        <w:rPr>
          <w:sz w:val="20"/>
          <w:szCs w:val="20"/>
          <w:color w:val="auto"/>
        </w:rPr>
      </w:pPr>
      <w:r>
        <w:rPr>
          <w:rFonts w:ascii="Times New Roman" w:cs="Times New Roman" w:eastAsia="Times New Roman" w:hAnsi="Times New Roman"/>
          <w:sz w:val="18"/>
          <w:szCs w:val="18"/>
          <w:color w:val="auto"/>
        </w:rPr>
        <w:t>The Board of Directors retains the ultimate discretion to determine whether the named executive officers will receive annual profit sharing allocations based upon the factors discussed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Incentive Compensation Plan</w:t>
      </w:r>
    </w:p>
    <w:p>
      <w:pPr>
        <w:spacing w:after="0" w:line="119"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In fiscal 2007, following our recapitalization, the Board of Directors adopted the Management Incentive Compensation Plan (the “Plan”) for certain named employees. Under the Plan, employees who participate shall be entitled to receive a pro rata share (as determined in the manner described below) of an amount in cash equal to:</w:t>
      </w:r>
    </w:p>
    <w:p>
      <w:pPr>
        <w:spacing w:after="0" w:line="68" w:lineRule="exact"/>
        <w:rPr>
          <w:sz w:val="20"/>
          <w:szCs w:val="20"/>
          <w:color w:val="auto"/>
        </w:rPr>
      </w:pPr>
    </w:p>
    <w:p>
      <w:pPr>
        <w:ind w:left="1020" w:right="260" w:hanging="43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distributions (“Incentive Distributions”) of Available Cash in excess of the minimum quarterly distribution of $0.0675 per unit otherwise distributable to Kestrel Heat pursuant to the Partnership Agreement on account of its general partner units; and</w:t>
      </w:r>
    </w:p>
    <w:p>
      <w:pPr>
        <w:spacing w:after="0" w:line="53" w:lineRule="exact"/>
        <w:rPr>
          <w:rFonts w:ascii="Times New Roman" w:cs="Times New Roman" w:eastAsia="Times New Roman" w:hAnsi="Times New Roman"/>
          <w:sz w:val="18"/>
          <w:szCs w:val="18"/>
          <w:color w:val="auto"/>
        </w:rPr>
      </w:pPr>
    </w:p>
    <w:p>
      <w:pPr>
        <w:ind w:left="1020" w:right="140" w:hanging="43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cash proceeds (the “Gains Interest”) which Kestrel Heat shall receive from any sale of its general partner units (as defined in the Partnership Agreement), less expenses and applicable taxes.</w:t>
      </w:r>
    </w:p>
    <w:p>
      <w:pPr>
        <w:spacing w:after="0" w:line="162"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We believe that the Plan provides a long-term incentive to its participants because it encourages Star’s management to increase available cash for distributions in order to trigger the incentive distributions that are only payable if distributions from available cash exceed certain target distribution levels, with higher amounts of incentive distributions triggered by higher levels of distributions. Such increases are not sustainable on a consistent basis without long-term improvements in our operations. In addition, under certain Plan amendments that were adopted in 2012, the participation points of existing plan participants will vest and become irrevocable over a four year period, provided that the participants continue to be employed by us during the vesting period. We believe that this will help ensure that the Plan participants, which include our named executive officers, will have a continuing personal interest in the success of Star.</w:t>
      </w:r>
    </w:p>
    <w:p>
      <w:pPr>
        <w:spacing w:after="0" w:line="189"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The pro rata share payable to each participant under the Plan is based on the number of participation points as described under “Fiscal 2020 Compensation Decisions—Management Incentive Compensation Plan.” The amount paid in Incentive Distributions is governed by the Partnership Agreement and Available Cash (as defined in our Partnership Agreement) is distributed to the holders of our common units and general partner units in the following manner:</w:t>
      </w:r>
    </w:p>
    <w:p>
      <w:pPr>
        <w:spacing w:after="0" w:line="180" w:lineRule="exact"/>
        <w:rPr>
          <w:sz w:val="20"/>
          <w:szCs w:val="20"/>
          <w:color w:val="auto"/>
        </w:rPr>
      </w:pPr>
    </w:p>
    <w:p>
      <w:pPr>
        <w:ind w:right="660" w:firstLine="589"/>
        <w:spacing w:after="0" w:line="282" w:lineRule="auto"/>
        <w:rPr>
          <w:sz w:val="20"/>
          <w:szCs w:val="20"/>
          <w:color w:val="auto"/>
        </w:rPr>
      </w:pPr>
      <w:r>
        <w:rPr>
          <w:rFonts w:ascii="Times New Roman" w:cs="Times New Roman" w:eastAsia="Times New Roman" w:hAnsi="Times New Roman"/>
          <w:sz w:val="18"/>
          <w:szCs w:val="18"/>
          <w:color w:val="auto"/>
        </w:rPr>
        <w:t>First, 100% to all common units, pro rata, until there has been distributed to each common unit an amount equal to the minimum quarterly distribution of $0.0675 for that quarter;</w:t>
      </w:r>
    </w:p>
    <w:p>
      <w:pPr>
        <w:spacing w:after="0" w:line="162" w:lineRule="exact"/>
        <w:rPr>
          <w:sz w:val="20"/>
          <w:szCs w:val="20"/>
          <w:color w:val="auto"/>
        </w:rPr>
      </w:pPr>
    </w:p>
    <w:p>
      <w:pPr>
        <w:ind w:right="640" w:firstLine="589"/>
        <w:spacing w:after="0" w:line="282" w:lineRule="auto"/>
        <w:rPr>
          <w:sz w:val="20"/>
          <w:szCs w:val="20"/>
          <w:color w:val="auto"/>
        </w:rPr>
      </w:pPr>
      <w:r>
        <w:rPr>
          <w:rFonts w:ascii="Times New Roman" w:cs="Times New Roman" w:eastAsia="Times New Roman" w:hAnsi="Times New Roman"/>
          <w:sz w:val="18"/>
          <w:szCs w:val="18"/>
          <w:color w:val="auto"/>
        </w:rPr>
        <w:t>Second, 100% to all common units, pro rata, until there has been distributed to each common unit an amount equal to any arrearages in the payment of the minimum quarterly distribution for prior quarters;</w:t>
      </w:r>
    </w:p>
    <w:p>
      <w:pPr>
        <w:spacing w:after="0" w:line="162" w:lineRule="exact"/>
        <w:rPr>
          <w:sz w:val="20"/>
          <w:szCs w:val="20"/>
          <w:color w:val="auto"/>
        </w:rPr>
      </w:pPr>
    </w:p>
    <w:p>
      <w:pPr>
        <w:ind w:right="380" w:firstLine="589"/>
        <w:spacing w:after="0" w:line="282" w:lineRule="auto"/>
        <w:rPr>
          <w:sz w:val="20"/>
          <w:szCs w:val="20"/>
          <w:color w:val="auto"/>
        </w:rPr>
      </w:pPr>
      <w:r>
        <w:rPr>
          <w:rFonts w:ascii="Times New Roman" w:cs="Times New Roman" w:eastAsia="Times New Roman" w:hAnsi="Times New Roman"/>
          <w:sz w:val="18"/>
          <w:szCs w:val="18"/>
          <w:color w:val="auto"/>
        </w:rPr>
        <w:t>Third, 100% to all general partner units, pro rata, until there has been distributed to each general partner unit an amount equal to the minimum quarterly distribution;</w:t>
      </w:r>
    </w:p>
    <w:p>
      <w:pPr>
        <w:spacing w:after="0" w:line="162" w:lineRule="exact"/>
        <w:rPr>
          <w:sz w:val="20"/>
          <w:szCs w:val="20"/>
          <w:color w:val="auto"/>
        </w:rPr>
      </w:pPr>
    </w:p>
    <w:p>
      <w:pPr>
        <w:ind w:right="520" w:firstLine="589"/>
        <w:spacing w:after="0" w:line="282" w:lineRule="auto"/>
        <w:rPr>
          <w:sz w:val="20"/>
          <w:szCs w:val="20"/>
          <w:color w:val="auto"/>
        </w:rPr>
      </w:pPr>
      <w:r>
        <w:rPr>
          <w:rFonts w:ascii="Times New Roman" w:cs="Times New Roman" w:eastAsia="Times New Roman" w:hAnsi="Times New Roman"/>
          <w:sz w:val="18"/>
          <w:szCs w:val="18"/>
          <w:color w:val="auto"/>
        </w:rPr>
        <w:t>Fourth, 90% to all common units, pro rata, and 10% to all general partner units, pro rata, until each common unit has received the first target distribution of $0.1125; and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Finally, 80% to all common units, pro rata, and 20% to all general partner units, pro rata.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Available Cash, as defined in our Partnership Agreement, generally means all cash on hand at the end of the relevant fiscal quarter less the amount of cash reserves established by the Board of Directors of our general partner in its reasonable discretion for future cash requirements. These reserves are established for the proper conduct of our business, including acquisitions, the payment of debt principal and interest and for distributions during the next four quarters and to comply with applicable law and the terms of any debt agreements or other agreements to which we are subject. The Board of Directors of our general partner reviews the level of Available Cash each quarter based upon information provided by management.</w:t>
      </w:r>
    </w:p>
    <w:p>
      <w:pPr>
        <w:spacing w:after="0" w:line="183"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To fund the benefits under the Plan, Kestrel Heat has agreed to permanently and irrevocably forego receipt of the amount of Incentive Distributions that are payable to plan participants. For accounting purposes, amounts payable to management under this Plan will be treated as compensation and will reduce both EBITDA and net income but not adjusted EBITDA. Kestrel Heat has also agreed to contribute to the Company, as a contribution to capital, an amount equal to the Gains Interest payable to participants in the Plan by the Company. The Company is not required to reimburse Kestrel Heat for amounts payable pursuant to the Plan.</w:t>
      </w:r>
    </w:p>
    <w:p>
      <w:pPr>
        <w:spacing w:after="0" w:line="183" w:lineRule="exact"/>
        <w:rPr>
          <w:sz w:val="20"/>
          <w:szCs w:val="20"/>
          <w:color w:val="auto"/>
        </w:rPr>
      </w:pPr>
    </w:p>
    <w:p>
      <w:pPr>
        <w:ind w:right="280" w:firstLine="589"/>
        <w:spacing w:after="0" w:line="282" w:lineRule="auto"/>
        <w:rPr>
          <w:sz w:val="20"/>
          <w:szCs w:val="20"/>
          <w:color w:val="auto"/>
        </w:rPr>
      </w:pPr>
      <w:r>
        <w:rPr>
          <w:rFonts w:ascii="Times New Roman" w:cs="Times New Roman" w:eastAsia="Times New Roman" w:hAnsi="Times New Roman"/>
          <w:sz w:val="18"/>
          <w:szCs w:val="18"/>
          <w:color w:val="auto"/>
        </w:rPr>
        <w:t>The Plan is administered by our Chief Financial Officer under the direction of the Board or by such other officer as the Board may from time to time direct. In general, no payments will be made under the Plan if we are not distributing cash under the Incentive Distributions described above.</w:t>
      </w:r>
    </w:p>
    <w:p>
      <w:pPr>
        <w:spacing w:after="0" w:line="162"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Effective as of July 19, 2012, the Board of Directors adopted certain amendments (the “Plan Amendments”) to the Plan. Under the Plan Amendments, the number and identity of the Plan participants and their participation interests in the Plan have been frozen at the current levels. In addition, under the Plan Amendments, the plan benefits (to the extent vested) may be transferred upon the death of a participant to his or her heirs. A participant’s vested percentage of his or her plan benefits will be 100% during the time a participant is an employee or consultant of the Company. Following the termination of such positions, a participant’s vested percentage shall be equal to 20% for each full or partial year of employment or consultation with us starting with the fiscal year ended September 30, 2012 (33 1/3% in the case of the Company’s chief executive officer at that time).</w:t>
      </w:r>
    </w:p>
    <w:p>
      <w:pPr>
        <w:spacing w:after="0" w:line="187"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We distributed $826,759 in Incentive Distributions under the Plan during fiscal 2020, including payments to the named executive officers of approximately $349,494. With regard to the Gains Interest, Kestrel Heat has not given any indication that it will sell its general partner units within the next 12 months. Thus the Plan’s value attributable to the Gains Interest currently cannot be determined.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Health Benefits</w:t>
      </w:r>
    </w:p>
    <w:p>
      <w:pPr>
        <w:spacing w:after="0" w:line="119"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We offer a health and welfare and retirement program to all eligible employees. The named executive officers are generally eligible for the same programs on the same basis as other employees of Star. We maintain a tax-qualified 401(k) retirement plan that provides eligible employees with an opportunity to save for retirement on a tax advantaged basis. Under the 401(k) plan, subject to IRS limitations, each participant can contribute from 0% to 60% of compensation.</w:t>
      </w:r>
    </w:p>
    <w:p>
      <w:pPr>
        <w:spacing w:after="0" w:line="180" w:lineRule="exact"/>
        <w:rPr>
          <w:sz w:val="20"/>
          <w:szCs w:val="20"/>
          <w:color w:val="auto"/>
        </w:rPr>
      </w:pPr>
    </w:p>
    <w:p>
      <w:pPr>
        <w:jc w:val="both"/>
        <w:ind w:right="120" w:firstLine="589"/>
        <w:spacing w:after="0" w:line="266" w:lineRule="auto"/>
        <w:rPr>
          <w:sz w:val="20"/>
          <w:szCs w:val="20"/>
          <w:color w:val="auto"/>
        </w:rPr>
      </w:pPr>
      <w:r>
        <w:rPr>
          <w:rFonts w:ascii="Times New Roman" w:cs="Times New Roman" w:eastAsia="Times New Roman" w:hAnsi="Times New Roman"/>
          <w:sz w:val="18"/>
          <w:szCs w:val="18"/>
          <w:color w:val="auto"/>
        </w:rPr>
        <w:t>We make a 4% (or a maximum of 5.5% for participants who had 10 or more years of service at the time our defined benefit plans were frozen and who have reached the age 55) core contribution of a participant’s compensation and generally can match 2/3 (up to 3.0%) of a participant’s contributions, subject to IRS limitations.</w:t>
      </w:r>
    </w:p>
    <w:p>
      <w:pPr>
        <w:spacing w:after="0" w:line="176"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In addition, we have two frozen defined benefit pension plans that were maintained for all eligible employees, including certain executive officers. The present value of accumulated benefits under these frozen defined benefit pension plans for certain executive officers is provided in the table labeled “Pension Plans Pursuant to Which Named Executive Officers Have an Accumulated Benefit But Are Not Currently Accruing Benefits.”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Compensation Decisions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fiscal 2020, the foregoing elements of compensation were applied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each named executive officer’s base salary as of October 1, 2020 and the percentage increase in base salary 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2019. The current base salaries for our named executive officers were determined based upon the factors discussed under the caption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Salary.” The average percentage increase in base salary for executives in our peer group was approximately 7.6%.</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80" w:type="dxa"/>
            <w:vAlign w:val="bottom"/>
            <w:vMerge w:val="restart"/>
          </w:tcPr>
          <w:p>
            <w:pPr>
              <w:spacing w:after="0"/>
              <w:rPr>
                <w:sz w:val="13"/>
                <w:szCs w:val="13"/>
                <w:color w:val="auto"/>
              </w:rPr>
            </w:pP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20"/>
        </w:trPr>
        <w:tc>
          <w:tcPr>
            <w:tcW w:w="51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0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gridSpan w:val="2"/>
            <w:vMerge w:val="continue"/>
            <w:shd w:val="clear" w:color="auto" w:fill="CFF0FC"/>
          </w:tcPr>
          <w:p>
            <w:pPr>
              <w:spacing w:after="0"/>
              <w:rPr>
                <w:sz w:val="18"/>
                <w:szCs w:val="18"/>
                <w:color w:val="auto"/>
              </w:rPr>
            </w:pPr>
          </w:p>
        </w:tc>
        <w:tc>
          <w:tcPr>
            <w:tcW w:w="108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$425,000</w:t>
            </w:r>
          </w:p>
        </w:tc>
        <w:tc>
          <w:tcPr>
            <w:tcW w:w="180" w:type="dxa"/>
            <w:vAlign w:val="bottom"/>
            <w:vMerge w:val="continue"/>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97"/>
              </w:rPr>
              <w:t>$434,115</w:t>
            </w: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08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$318,528</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$318,528</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Discretionary Profit Sharing Allocation</w:t>
      </w:r>
    </w:p>
    <w:p>
      <w:pPr>
        <w:spacing w:after="0" w:line="119" w:lineRule="exact"/>
        <w:rPr>
          <w:sz w:val="20"/>
          <w:szCs w:val="20"/>
          <w:color w:val="auto"/>
        </w:rPr>
      </w:pPr>
    </w:p>
    <w:p>
      <w:pPr>
        <w:ind w:right="60" w:firstLine="555"/>
        <w:spacing w:after="0" w:line="258" w:lineRule="auto"/>
        <w:rPr>
          <w:sz w:val="20"/>
          <w:szCs w:val="20"/>
          <w:color w:val="auto"/>
        </w:rPr>
      </w:pPr>
      <w:r>
        <w:rPr>
          <w:rFonts w:ascii="Times New Roman" w:cs="Times New Roman" w:eastAsia="Times New Roman" w:hAnsi="Times New Roman"/>
          <w:sz w:val="18"/>
          <w:szCs w:val="18"/>
          <w:color w:val="auto"/>
        </w:rPr>
        <w:t>Based on the annual performance reviews for our CEO and named executive officers, the Board approved annual profit sharing allocations as reflected in the “Summary Compensation Table” and notes thereto. For fiscal 2020, the profit sharing amounts reflected in the Summary Compensation Table are 100.0%, 50.0%, 100.0% and 100.0% higher than fiscal 2019 for Messrs. Woosnam, Ambury, Hammond and McDonald, respectively. The increases for Messrs. Woosnam, Hammond and McDonald reflect their promotions to executive officers during fiscal 2019 and holding these positions for a full year in fiscal 2020.</w:t>
      </w:r>
    </w:p>
    <w:p>
      <w:pPr>
        <w:spacing w:after="0" w:line="75" w:lineRule="exact"/>
        <w:rPr>
          <w:sz w:val="20"/>
          <w:szCs w:val="20"/>
          <w:color w:val="auto"/>
        </w:rPr>
      </w:pPr>
    </w:p>
    <w:p>
      <w:pPr>
        <w:ind w:firstLine="555"/>
        <w:spacing w:after="0" w:line="261" w:lineRule="auto"/>
        <w:rPr>
          <w:sz w:val="20"/>
          <w:szCs w:val="20"/>
          <w:color w:val="auto"/>
        </w:rPr>
      </w:pPr>
      <w:r>
        <w:rPr>
          <w:rFonts w:ascii="Times New Roman" w:cs="Times New Roman" w:eastAsia="Times New Roman" w:hAnsi="Times New Roman"/>
          <w:sz w:val="18"/>
          <w:szCs w:val="18"/>
          <w:color w:val="auto"/>
        </w:rPr>
        <w:t>One of our primary performance measures is Adjusted EBITDA, as defined for profit sharing purposes. For fiscal 2020, Adjusted EBITDA increased by $48.8 million, or 60.1%, to $130.0 million compared to fiscal 2019. Messrs. Woosnam, Ambury, Hammond and McDonald were instrumental in achieving this result. For our peer group, the average percentage decrease in Adjusted EBITDA was 3.4%, but the average total compensation increased by 7.6%.</w:t>
      </w:r>
    </w:p>
    <w:p>
      <w:pPr>
        <w:spacing w:after="0" w:line="72" w:lineRule="exact"/>
        <w:rPr>
          <w:sz w:val="20"/>
          <w:szCs w:val="20"/>
          <w:color w:val="auto"/>
        </w:rPr>
      </w:pPr>
    </w:p>
    <w:p>
      <w:pPr>
        <w:jc w:val="both"/>
        <w:ind w:right="120" w:firstLine="555"/>
        <w:spacing w:after="0" w:line="266" w:lineRule="auto"/>
        <w:rPr>
          <w:sz w:val="20"/>
          <w:szCs w:val="20"/>
          <w:color w:val="auto"/>
        </w:rPr>
      </w:pPr>
      <w:r>
        <w:rPr>
          <w:rFonts w:ascii="Times New Roman" w:cs="Times New Roman" w:eastAsia="Times New Roman" w:hAnsi="Times New Roman"/>
          <w:sz w:val="18"/>
          <w:szCs w:val="18"/>
          <w:color w:val="auto"/>
        </w:rPr>
        <w:t>Another performance measure is acquisitions, and over the last two fiscal years, we added approximately 16.8 million gallons of home heating oil and propane and 6.8 million gallons of motor fuels Messrs. Woosnam, Ambury, Hammond and McDonald were instrumental in the successful integration of these transactions.</w:t>
      </w:r>
    </w:p>
    <w:p>
      <w:pPr>
        <w:spacing w:after="0" w:line="68" w:lineRule="exact"/>
        <w:rPr>
          <w:sz w:val="20"/>
          <w:szCs w:val="20"/>
          <w:color w:val="auto"/>
        </w:rPr>
      </w:pPr>
    </w:p>
    <w:p>
      <w:pPr>
        <w:ind w:right="240" w:firstLine="555"/>
        <w:spacing w:after="0" w:line="266" w:lineRule="auto"/>
        <w:rPr>
          <w:sz w:val="20"/>
          <w:szCs w:val="20"/>
          <w:color w:val="auto"/>
        </w:rPr>
      </w:pPr>
      <w:r>
        <w:rPr>
          <w:rFonts w:ascii="Times New Roman" w:cs="Times New Roman" w:eastAsia="Times New Roman" w:hAnsi="Times New Roman"/>
          <w:sz w:val="18"/>
          <w:szCs w:val="18"/>
          <w:color w:val="auto"/>
        </w:rPr>
        <w:t>Net customer attrition is an additional performance measure and in fiscal 2020, we improved our net customer attrition rate by 37.0%. For fiscal 2020, the Company’s net customer attrition rate was 3.4% compared to 5.4% for fiscal 2019. Messrs. Woosnam, Hammond and McDonald were instrumental in achieving this result.</w:t>
      </w:r>
    </w:p>
    <w:p>
      <w:pPr>
        <w:spacing w:after="0" w:line="68" w:lineRule="exact"/>
        <w:rPr>
          <w:sz w:val="20"/>
          <w:szCs w:val="20"/>
          <w:color w:val="auto"/>
        </w:rPr>
      </w:pPr>
    </w:p>
    <w:p>
      <w:pPr>
        <w:jc w:val="both"/>
        <w:ind w:right="420" w:firstLine="555"/>
        <w:spacing w:after="0" w:line="261" w:lineRule="auto"/>
        <w:rPr>
          <w:sz w:val="20"/>
          <w:szCs w:val="20"/>
          <w:color w:val="auto"/>
        </w:rPr>
      </w:pPr>
      <w:r>
        <w:rPr>
          <w:rFonts w:ascii="Times New Roman" w:cs="Times New Roman" w:eastAsia="Times New Roman" w:hAnsi="Times New Roman"/>
          <w:sz w:val="18"/>
          <w:szCs w:val="18"/>
          <w:color w:val="auto"/>
        </w:rPr>
        <w:t>On December 4, 2020, the Company refinanced its credit facility with a bank syndicate of eleven participants, which enables the Company to borrow up to $300 million ($450 million during the heating season of December through April of each year) on a revolving line of credit for working capital, provides for a $130 million five-year senior secured term loan and extends the maturity date of the previous agreement to December 4, 2024. Availability as a result of the new credit agreement increased $40.0 million. Mr. Ambury led this refinancing initiative.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Incentive Compensation Plan</w:t>
      </w:r>
    </w:p>
    <w:p>
      <w:pPr>
        <w:spacing w:after="0" w:line="119"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In 2012, under the Plan Amendments adopted by the Board, the number and identity of the Plan participants and their participation points were frozen at the current levels in order to more closely align the interests of Plan participants and unitholders and to give Plan participants a continuing personal interest in our success. The number of participation points that were previously awarded to the named executive officers was based on the length of service and level of responsibility of the named executive and our desire to retain the named executive.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3" w:right="399" w:bottom="1440" w:gutter="0" w:footer="0" w:header="0"/>
        </w:sectPr>
      </w:pPr>
    </w:p>
    <w:bookmarkStart w:id="59" w:name="page60"/>
    <w:bookmarkEnd w:id="59"/>
    <w:p>
      <w:pPr>
        <w:ind w:left="600"/>
        <w:spacing w:after="0"/>
        <w:rPr>
          <w:sz w:val="20"/>
          <w:szCs w:val="20"/>
          <w:color w:val="auto"/>
        </w:rPr>
      </w:pPr>
      <w:r>
        <w:rPr>
          <w:rFonts w:ascii="Times New Roman" w:cs="Times New Roman" w:eastAsia="Times New Roman" w:hAnsi="Times New Roman"/>
          <w:sz w:val="18"/>
          <w:szCs w:val="18"/>
          <w:color w:val="auto"/>
        </w:rPr>
        <w:t>In fiscal 2020, $349,494 was paid to the named executive officers under the Plan as indicated in the following chart:</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20" w:type="dxa"/>
            <w:vAlign w:val="bottom"/>
            <w:vMerge w:val="restart"/>
          </w:tcPr>
          <w:p>
            <w:pPr>
              <w:spacing w:after="0"/>
              <w:rPr>
                <w:sz w:val="12"/>
                <w:szCs w:val="12"/>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492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gridSpan w:val="2"/>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Plan Participants (a)</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80" w:right="240" w:hanging="572"/>
        <w:spacing w:after="0" w:line="282"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 points (27.3%) that were awarded to Mr. Donovan prior to his retirement as the Company’s President and Chief Executive Officer effective September 30, 2013.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Health Benefits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named executive officers participate in our retirement and health benefit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 and Severance Agreements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Richard F. Ambury</w:t>
      </w:r>
    </w:p>
    <w:p>
      <w:pPr>
        <w:spacing w:after="0" w:line="119"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Ambury effective as of April 28, 2008. Mr. Ambury will serve as Chief Financial Officer and Treasurer on an at-will basis. The employment agreement provides for one year’s salary as severance if Mr. Ambury’s employment is terminated without cause or by Mr. Ambury for good reason.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Jeffrey M. Woosnam</w:t>
      </w:r>
    </w:p>
    <w:p>
      <w:pPr>
        <w:spacing w:after="0" w:line="119" w:lineRule="exact"/>
        <w:rPr>
          <w:sz w:val="20"/>
          <w:szCs w:val="20"/>
          <w:color w:val="auto"/>
        </w:rPr>
      </w:pPr>
    </w:p>
    <w:p>
      <w:pPr>
        <w:ind w:right="440" w:firstLine="589"/>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Woosnam effective as of June 19, 2019. Mr. Woosnam will serve as President and Chief Executive Officer of Kestrel Heat on an at-will basis. The employment agreement provides for one year’s salary as severance if Mr. Woosnam’s employment is terminated without cause or by Mr. Woosnam for good reason.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Agreements</w:t>
      </w:r>
    </w:p>
    <w:p>
      <w:pPr>
        <w:spacing w:after="0" w:line="12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Change in control arrangements are included in the employment agreement for Mr. Woosnam, Chief Executive Officer and we have entered into a Change in Control Agreement with Mr. Ambury, Chief Financial Officer. Under the terms of each agreement, if either of these executive officers is terminated within 180 days following a change in control (as defined in the agreement), he will be entitled to a payment equal to two times his base annual salary in the year of such termination plus two times the average amount paid as a bonus and/or as profit sharing during the three years preceding the year of such termination. The term change in control means the present equity owners of Kestrel Heat and their affiliates collectively cease to beneficially own equity interests having the voting power to elect at least a majority of the members of the Board of Directors or other governing board of the general partner or any successor entity. If a change in control were to have occurred and their employment was terminated as of the date of this Report, Mr. Woosnam would have received a payment of $1,738,700 and Mr. Ambury would have received a payment of $1,826,341.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ratio of the annual total compensation, calculated in accordance with the requirements of Item 402(c)(2)(x) of Regulation S-K of our CEO,</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0" w:name="page61"/>
    <w:bookmarkEnd w:id="60"/>
    <w:p>
      <w:pPr>
        <w:ind w:right="80"/>
        <w:spacing w:after="0" w:line="256" w:lineRule="auto"/>
        <w:rPr>
          <w:sz w:val="20"/>
          <w:szCs w:val="20"/>
          <w:color w:val="auto"/>
        </w:rPr>
      </w:pPr>
      <w:r>
        <w:rPr>
          <w:rFonts w:ascii="Times New Roman" w:cs="Times New Roman" w:eastAsia="Times New Roman" w:hAnsi="Times New Roman"/>
          <w:sz w:val="18"/>
          <w:szCs w:val="18"/>
          <w:color w:val="auto"/>
        </w:rPr>
        <w:t>Jeffrey M. Woosnam and the annual total compensation of our median employee. For fiscal 2020, our last completed fiscal year, our CEO’s total compensation was $1,272,456, versus our median employee compensation of $61,298. This reflects a CEO pay ratio of 21:1. We identified our median compensation employee by examining total compensation paid for fiscal year 2020 to all individuals, excluding Mr. Woosnam, who were employed by us on September 30, 2020, the last day of our fiscal year based on payroll records. No assumptions, adjustments or estimates were made in respect of total compensation, except that we annualized the compensation of any employee that was not employed with us for all of fiscal year 2020, excluding seasonal and temporary employees.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589"/>
        <w:spacing w:after="0" w:line="273" w:lineRule="auto"/>
        <w:rPr>
          <w:sz w:val="20"/>
          <w:szCs w:val="20"/>
          <w:color w:val="auto"/>
        </w:rPr>
      </w:pPr>
      <w:r>
        <w:rPr>
          <w:rFonts w:ascii="Times New Roman" w:cs="Times New Roman" w:eastAsia="Times New Roman" w:hAnsi="Times New Roman"/>
          <w:sz w:val="17"/>
          <w:szCs w:val="17"/>
          <w:color w:val="auto"/>
        </w:rPr>
        <w:t>We have entered into an indemnification agreement with each of our directors and senior executives. These agreements provide for us to, among other things, indemnify such persons against certain liabilities that may arise by reason of their status or service as directors or officers, to advance their expenses incurred as a result of a proceeding as to which they may be indemnified and to cover such person under any directors’ and officers’ liability insurance policy we choose, in our discretion, to maintain. These indemnification agreements are intended to provide indemnification rights to the fullest extent permitted under applicable indemnification rights statutes in the State of Delaware and are in addition to any other rights such person may have under our Partnership Agreement and the limited liability company agreement of our general partner, and applicable law. We believe these indemnification agreements enhance our ability to attract and retain knowledgeable and experienced executives and independent, non-management directors.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Report</w:t>
      </w:r>
    </w:p>
    <w:p>
      <w:pPr>
        <w:spacing w:after="0" w:line="121" w:lineRule="exact"/>
        <w:rPr>
          <w:sz w:val="20"/>
          <w:szCs w:val="20"/>
          <w:color w:val="auto"/>
        </w:rPr>
      </w:pPr>
    </w:p>
    <w:p>
      <w:pPr>
        <w:ind w:right="440" w:firstLine="589"/>
        <w:spacing w:after="0" w:line="282" w:lineRule="auto"/>
        <w:rPr>
          <w:sz w:val="20"/>
          <w:szCs w:val="20"/>
          <w:color w:val="auto"/>
        </w:rPr>
      </w:pPr>
      <w:r>
        <w:rPr>
          <w:rFonts w:ascii="Times New Roman" w:cs="Times New Roman" w:eastAsia="Times New Roman" w:hAnsi="Times New Roman"/>
          <w:sz w:val="18"/>
          <w:szCs w:val="18"/>
          <w:color w:val="auto"/>
        </w:rPr>
        <w:t>The Board of Directors of the general partner of the Company does not have a separate compensation committee. Executive compensation is determined by the Board of Directors.</w:t>
      </w:r>
    </w:p>
    <w:p>
      <w:pPr>
        <w:spacing w:after="0" w:line="162"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The Board of Directors reviewed and discussed with the Company’s management the Compensation Discussion and Analysis contained in this annual report on Form 10-K. Based on that review and discussion, the Board of Directors recommends that the Compensation Discussion and Analysis be included in the Company’s annual report on Form 10-K for the year ended September 30,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Vermylen,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M. Woosnam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Henry D. Babcock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David M. Bauer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Scott Baxter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P. Donovan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H. Lawrence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P. Nicoletti</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Executive Compensation Table</w:t>
      </w:r>
    </w:p>
    <w:p>
      <w:pPr>
        <w:spacing w:after="0" w:line="121" w:lineRule="exact"/>
        <w:rPr>
          <w:sz w:val="20"/>
          <w:szCs w:val="20"/>
          <w:color w:val="auto"/>
        </w:rPr>
      </w:pPr>
    </w:p>
    <w:p>
      <w:pPr>
        <w:ind w:right="70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annual salary compensation, bonus and all other compensation awards earned and accrued by the named executive officers in the fiscal year.</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4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Comp.(1)</w:t>
            </w:r>
          </w:p>
        </w:tc>
        <w:tc>
          <w:tcPr>
            <w:tcW w:w="8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Earnings (2)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3"/>
              <w:spacing w:after="0" w:line="160" w:lineRule="exact"/>
              <w:rPr>
                <w:sz w:val="20"/>
                <w:szCs w:val="20"/>
                <w:color w:val="auto"/>
              </w:rPr>
            </w:pPr>
            <w:r>
              <w:rPr>
                <w:rFonts w:ascii="Times New Roman" w:cs="Times New Roman" w:eastAsia="Times New Roman" w:hAnsi="Times New Roman"/>
                <w:sz w:val="14"/>
                <w:szCs w:val="14"/>
                <w:b w:val="1"/>
                <w:bCs w:val="1"/>
                <w:color w:val="auto"/>
              </w:rPr>
              <w:t>Comp.(6)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CFF0FC"/>
            </w:tcBorders>
            <w:shd w:val="clear" w:color="auto" w:fill="000000"/>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Jeffrey M. Woosnam</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775,000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1,272,456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297,769</w:t>
            </w:r>
          </w:p>
        </w:tc>
        <w:tc>
          <w:tcPr>
            <w:tcW w:w="20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388,000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Officer (3)</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Richard F. Ambury</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428,821</w:t>
            </w:r>
          </w:p>
        </w:tc>
        <w:tc>
          <w:tcPr>
            <w:tcW w:w="20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615,000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1,302,877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417,872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5"/>
              </w:rPr>
              <w:t>411,317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206,786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1,094,833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 and Executive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401,400</w:t>
            </w:r>
          </w:p>
        </w:tc>
        <w:tc>
          <w:tcPr>
            <w:tcW w:w="20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410,850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Jeffrey S. Hammond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313,142</w:t>
            </w:r>
          </w:p>
        </w:tc>
        <w:tc>
          <w:tcPr>
            <w:tcW w:w="20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575,000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292,384</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288,000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(4)</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Joseph R. McDonald</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313,142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575,000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1,025,089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Customer</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294,933</w:t>
            </w:r>
          </w:p>
        </w:tc>
        <w:tc>
          <w:tcPr>
            <w:tcW w:w="20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288,000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Officer (5)</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right="620" w:hanging="572"/>
        <w:spacing w:after="0" w:line="261"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pursuant to the Company’s profit sharing pool, which is described under “Compensation Discussion and Analysis. – Profit Sharing Allocation.”</w:t>
      </w:r>
    </w:p>
    <w:p>
      <w:pPr>
        <w:ind w:left="580" w:right="140" w:hanging="572"/>
        <w:spacing w:after="0" w:line="250"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two frozen defined benefit pension plans that we sometimes refer to in this Report as the Petro defined benefit pension plan and the Meenan defined benefit pension plan, where participants are not accruing additional benefits. Mr. Ambury also participated in a tax-qualified supplemental employee retirement plan which, prior to being frozen in 1997, represented contributions to an employee plan to compensate for a reduction in certain benefits prior to 1997. Included in Mr. Ambury’s amounts for the Change in Pension Value and Nonqualified Deferred Comp. Earnings are $5,197, $9,455, and $0 for fiscal years 2020, 2019, and 2018 respectively, for the actuarial changes in the value of his frozen supplemental employee retirement plan. The change in all the named executive’s pension values (including the supplemental employee retirement plan) are non-cash, and reflect normal adjustments resulting from changes in discount rates and government mandated mortality tables.</w:t>
      </w:r>
    </w:p>
    <w:p>
      <w:pPr>
        <w:spacing w:after="0" w:line="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Woosnam was appointed President and Chief Executive Officer on March 18, 2019.</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Hammond was appointed Chief Operating Officer on March 18, 2019.</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McDonald was appointed Chief Customer Officer on March 18, 2019.</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is subdivided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2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Match and</w:t>
            </w:r>
          </w:p>
        </w:tc>
        <w:tc>
          <w:tcPr>
            <w:tcW w:w="24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 Allowance or Monetary</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Core Contribution to</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Value for Personal Use of</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Plan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401(K) Plan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Company Owned Vehicle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94,956</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176,626</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37,580</w:t>
            </w:r>
          </w:p>
        </w:tc>
        <w:tc>
          <w:tcPr>
            <w:tcW w:w="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90,192</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Grants of Plan-Based Awards</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vMerge w:val="restart"/>
          </w:tcPr>
          <w:p>
            <w:pPr>
              <w:jc w:val="center"/>
              <w:ind w:left="6"/>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ind w:left="6"/>
              <w:spacing w:after="0" w:line="141" w:lineRule="exact"/>
              <w:rPr>
                <w:sz w:val="20"/>
                <w:szCs w:val="20"/>
                <w:color w:val="auto"/>
              </w:rPr>
            </w:pPr>
            <w:r>
              <w:rPr>
                <w:rFonts w:ascii="Times New Roman" w:cs="Times New Roman" w:eastAsia="Times New Roman" w:hAnsi="Times New Roman"/>
                <w:sz w:val="13"/>
                <w:szCs w:val="13"/>
                <w:b w:val="1"/>
                <w:bCs w:val="1"/>
                <w:color w:val="auto"/>
              </w:rPr>
              <w:t>Stocks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rPr>
              <w:t>Option</w:t>
            </w:r>
          </w:p>
        </w:tc>
        <w:tc>
          <w:tcPr>
            <w:tcW w:w="9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 or</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180" w:type="dxa"/>
            <w:vAlign w:val="bottom"/>
          </w:tcPr>
          <w:p>
            <w:pPr>
              <w:spacing w:after="0"/>
              <w:rPr>
                <w:sz w:val="12"/>
                <w:szCs w:val="12"/>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Base Price of</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Incentive Plan Awards (1)</w:t>
            </w:r>
          </w:p>
        </w:tc>
        <w:tc>
          <w:tcPr>
            <w:tcW w:w="180" w:type="dxa"/>
            <w:vAlign w:val="bottom"/>
          </w:tcPr>
          <w:p>
            <w:pPr>
              <w:spacing w:after="0"/>
              <w:rPr>
                <w:sz w:val="15"/>
                <w:szCs w:val="15"/>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Under Equity Incentive Plan</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20" w:type="dxa"/>
            <w:vAlign w:val="bottom"/>
          </w:tcPr>
          <w:p>
            <w:pPr>
              <w:jc w:val="center"/>
              <w:ind w:left="641"/>
              <w:spacing w:after="0" w:line="131" w:lineRule="exact"/>
              <w:rPr>
                <w:sz w:val="20"/>
                <w:szCs w:val="20"/>
                <w:color w:val="auto"/>
              </w:rPr>
            </w:pPr>
            <w:r>
              <w:rPr>
                <w:rFonts w:ascii="Times New Roman" w:cs="Times New Roman" w:eastAsia="Times New Roman" w:hAnsi="Times New Roman"/>
                <w:sz w:val="13"/>
                <w:szCs w:val="13"/>
                <w:b w:val="1"/>
                <w:bCs w:val="1"/>
                <w:color w:val="auto"/>
              </w:rPr>
              <w:t>Grant</w:t>
            </w:r>
          </w:p>
        </w:tc>
        <w:tc>
          <w:tcPr>
            <w:tcW w:w="68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Target</w:t>
            </w: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80" w:type="dxa"/>
            <w:vAlign w:val="bottom"/>
          </w:tcPr>
          <w:p>
            <w:pPr>
              <w:spacing w:after="0"/>
              <w:rPr>
                <w:sz w:val="11"/>
                <w:szCs w:val="11"/>
                <w:color w:val="auto"/>
              </w:rPr>
            </w:pPr>
          </w:p>
        </w:tc>
        <w:tc>
          <w:tcPr>
            <w:tcW w:w="70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Target</w:t>
            </w: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Maximum</w:t>
            </w:r>
          </w:p>
        </w:tc>
        <w:tc>
          <w:tcPr>
            <w:tcW w:w="940" w:type="dxa"/>
            <w:vAlign w:val="bottom"/>
          </w:tcPr>
          <w:p>
            <w:pPr>
              <w:jc w:val="center"/>
              <w:ind w:left="6"/>
              <w:spacing w:after="0" w:line="131" w:lineRule="exact"/>
              <w:rPr>
                <w:sz w:val="20"/>
                <w:szCs w:val="20"/>
                <w:color w:val="auto"/>
              </w:rPr>
            </w:pPr>
            <w:r>
              <w:rPr>
                <w:rFonts w:ascii="Times New Roman" w:cs="Times New Roman" w:eastAsia="Times New Roman" w:hAnsi="Times New Roman"/>
                <w:sz w:val="13"/>
                <w:szCs w:val="13"/>
                <w:b w:val="1"/>
                <w:bCs w:val="1"/>
                <w:color w:val="auto"/>
              </w:rPr>
              <w:t>Stock or</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Awards</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520" w:type="dxa"/>
            <w:vAlign w:val="bottom"/>
          </w:tcPr>
          <w:p>
            <w:pPr>
              <w:jc w:val="center"/>
              <w:ind w:left="661"/>
              <w:spacing w:after="0"/>
              <w:rPr>
                <w:sz w:val="20"/>
                <w:szCs w:val="20"/>
                <w:color w:val="auto"/>
              </w:rPr>
            </w:pPr>
            <w:r>
              <w:rPr>
                <w:rFonts w:ascii="Times New Roman" w:cs="Times New Roman" w:eastAsia="Times New Roman" w:hAnsi="Times New Roman"/>
                <w:sz w:val="13"/>
                <w:szCs w:val="13"/>
                <w:b w:val="1"/>
                <w:bCs w:val="1"/>
                <w:color w:val="auto"/>
              </w:rPr>
              <w:t>Date (1)</w:t>
            </w: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(2)</w:t>
            </w: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3"/>
                <w:szCs w:val="13"/>
                <w:b w:val="1"/>
                <w:bCs w:val="1"/>
                <w:color w:val="auto"/>
              </w:rPr>
              <w:t>Units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Jeffrey M.</w:t>
            </w:r>
          </w:p>
        </w:tc>
        <w:tc>
          <w:tcPr>
            <w:tcW w:w="15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Woosnam</w:t>
            </w:r>
          </w:p>
        </w:tc>
        <w:tc>
          <w:tcPr>
            <w:tcW w:w="1520" w:type="dxa"/>
            <w:vAlign w:val="bottom"/>
          </w:tcPr>
          <w:p>
            <w:pPr>
              <w:jc w:val="center"/>
              <w:ind w:left="641"/>
              <w:spacing w:after="0"/>
              <w:rPr>
                <w:sz w:val="20"/>
                <w:szCs w:val="20"/>
                <w:color w:val="auto"/>
              </w:rPr>
            </w:pPr>
            <w:r>
              <w:rPr>
                <w:rFonts w:ascii="Times New Roman" w:cs="Times New Roman" w:eastAsia="Times New Roman" w:hAnsi="Times New Roman"/>
                <w:sz w:val="17"/>
                <w:szCs w:val="17"/>
                <w:color w:val="auto"/>
                <w:w w:val="99"/>
              </w:rPr>
              <w:t>7/21/09</w:t>
            </w:r>
          </w:p>
        </w:tc>
        <w:tc>
          <w:tcPr>
            <w:tcW w:w="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$ 775,000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Richard F.</w:t>
            </w:r>
          </w:p>
        </w:tc>
        <w:tc>
          <w:tcPr>
            <w:tcW w:w="15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Ambury</w:t>
            </w:r>
          </w:p>
        </w:tc>
        <w:tc>
          <w:tcPr>
            <w:tcW w:w="1520" w:type="dxa"/>
            <w:vAlign w:val="bottom"/>
          </w:tcPr>
          <w:p>
            <w:pPr>
              <w:jc w:val="center"/>
              <w:ind w:left="641"/>
              <w:spacing w:after="0"/>
              <w:rPr>
                <w:sz w:val="20"/>
                <w:szCs w:val="20"/>
                <w:color w:val="auto"/>
              </w:rPr>
            </w:pPr>
            <w:r>
              <w:rPr>
                <w:rFonts w:ascii="Times New Roman" w:cs="Times New Roman" w:eastAsia="Times New Roman" w:hAnsi="Times New Roman"/>
                <w:sz w:val="17"/>
                <w:szCs w:val="17"/>
                <w:color w:val="auto"/>
                <w:w w:val="99"/>
              </w:rPr>
              <w:t>7/21/09</w:t>
            </w:r>
          </w:p>
        </w:tc>
        <w:tc>
          <w:tcPr>
            <w:tcW w:w="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$ 615,000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Jeffrey S.</w:t>
            </w:r>
          </w:p>
        </w:tc>
        <w:tc>
          <w:tcPr>
            <w:tcW w:w="15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Hammond</w:t>
            </w:r>
          </w:p>
        </w:tc>
        <w:tc>
          <w:tcPr>
            <w:tcW w:w="1520" w:type="dxa"/>
            <w:vAlign w:val="bottom"/>
          </w:tcPr>
          <w:p>
            <w:pPr>
              <w:jc w:val="center"/>
              <w:ind w:left="641"/>
              <w:spacing w:after="0"/>
              <w:rPr>
                <w:sz w:val="20"/>
                <w:szCs w:val="20"/>
                <w:color w:val="auto"/>
              </w:rPr>
            </w:pPr>
            <w:r>
              <w:rPr>
                <w:rFonts w:ascii="Times New Roman" w:cs="Times New Roman" w:eastAsia="Times New Roman" w:hAnsi="Times New Roman"/>
                <w:sz w:val="17"/>
                <w:szCs w:val="17"/>
                <w:color w:val="auto"/>
                <w:w w:val="99"/>
              </w:rPr>
              <w:t>7/21/09</w:t>
            </w:r>
          </w:p>
        </w:tc>
        <w:tc>
          <w:tcPr>
            <w:tcW w:w="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$ 575,000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Joseph R.</w:t>
            </w:r>
          </w:p>
        </w:tc>
        <w:tc>
          <w:tcPr>
            <w:tcW w:w="15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McDonald</w:t>
            </w:r>
          </w:p>
        </w:tc>
        <w:tc>
          <w:tcPr>
            <w:tcW w:w="1520" w:type="dxa"/>
            <w:vAlign w:val="bottom"/>
          </w:tcPr>
          <w:p>
            <w:pPr>
              <w:jc w:val="center"/>
              <w:ind w:left="641"/>
              <w:spacing w:after="0"/>
              <w:rPr>
                <w:sz w:val="20"/>
                <w:szCs w:val="20"/>
                <w:color w:val="auto"/>
              </w:rPr>
            </w:pPr>
            <w:r>
              <w:rPr>
                <w:rFonts w:ascii="Times New Roman" w:cs="Times New Roman" w:eastAsia="Times New Roman" w:hAnsi="Times New Roman"/>
                <w:sz w:val="17"/>
                <w:szCs w:val="17"/>
                <w:color w:val="auto"/>
                <w:w w:val="99"/>
              </w:rPr>
              <w:t>7/21/09</w:t>
            </w:r>
          </w:p>
        </w:tc>
        <w:tc>
          <w:tcPr>
            <w:tcW w:w="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$ 575,000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right="160" w:hanging="572"/>
        <w:spacing w:after="0" w:line="261"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21, 2009, the Board of Directors authorized the continuance of the annual profit sharing plan, subject to its power to terminate the plan at any time. Profit sharing allocations are described under “Compensation Philosophy and Policies—Profit Sharing Allocations.”</w:t>
      </w:r>
    </w:p>
    <w:p>
      <w:pPr>
        <w:ind w:left="580" w:right="40" w:hanging="572"/>
        <w:spacing w:after="0" w:line="260"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profit sharing plan does not provide for thresholds or maximums; the amounts listed represent the actual awards to the named executive officers for fiscal 2020.</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 Pursuant to Which Named Executive Officers Have an Accumulated Benefit But Are Not Currently Accruing Benefits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420" w:type="dxa"/>
            <w:vAlign w:val="bottom"/>
          </w:tcPr>
          <w:p>
            <w:pPr>
              <w:spacing w:after="0"/>
              <w:rPr>
                <w:sz w:val="13"/>
                <w:szCs w:val="13"/>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Payments During Last</w:t>
            </w:r>
          </w:p>
        </w:tc>
        <w:tc>
          <w:tcPr>
            <w:tcW w:w="0" w:type="dxa"/>
            <w:vAlign w:val="bottom"/>
          </w:tcPr>
          <w:p>
            <w:pPr>
              <w:spacing w:after="0"/>
              <w:rPr>
                <w:sz w:val="1"/>
                <w:szCs w:val="1"/>
                <w:color w:val="auto"/>
              </w:rPr>
            </w:pPr>
          </w:p>
        </w:tc>
      </w:tr>
      <w:tr>
        <w:trPr>
          <w:trHeight w:val="160"/>
        </w:trPr>
        <w:tc>
          <w:tcPr>
            <w:tcW w:w="2960" w:type="dxa"/>
            <w:vAlign w:val="bottom"/>
            <w:gridSpan w:val="2"/>
            <w:vMerge w:val="continue"/>
          </w:tcPr>
          <w:p>
            <w:pPr>
              <w:spacing w:after="0"/>
              <w:rPr>
                <w:sz w:val="13"/>
                <w:szCs w:val="13"/>
                <w:color w:val="auto"/>
              </w:rPr>
            </w:pPr>
          </w:p>
        </w:tc>
        <w:tc>
          <w:tcPr>
            <w:tcW w:w="3200" w:type="dxa"/>
            <w:vAlign w:val="bottom"/>
            <w:gridSpan w:val="2"/>
            <w:vMerge w:val="continue"/>
          </w:tcPr>
          <w:p>
            <w:pPr>
              <w:spacing w:after="0"/>
              <w:rPr>
                <w:sz w:val="13"/>
                <w:szCs w:val="13"/>
                <w:color w:val="auto"/>
              </w:rPr>
            </w:pPr>
          </w:p>
        </w:tc>
        <w:tc>
          <w:tcPr>
            <w:tcW w:w="122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Credited Service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Accumulated Benefit</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2600" w:type="dxa"/>
            <w:vAlign w:val="bottom"/>
            <w:tcBorders>
              <w:bottom w:val="single" w:sz="8" w:color="CFF0FC"/>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F. Ambury (1)</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Retirement Plan</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329,907</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 Employee Retirement Plan</w:t>
            </w:r>
          </w:p>
        </w:tc>
        <w:tc>
          <w:tcPr>
            <w:tcW w:w="12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63,137</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hanging="572"/>
        <w:spacing w:after="0" w:line="254" w:lineRule="auto"/>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has accumulated benefits in the tax-qualified Petro defined benefit pension plan that was frozen in 1997. Mr. Ambury also participated in a tax-qualified supplemental employee retirement plan which, prior to being frozen in 1997, represented contributions to an employee plan to compensate for a reduction in certain benefits prior to 1997. No other named executives were participants in any of these plans. Each year, the named executive officer’s accumulated benefits are actuarially calculated generally based on the credited years of service and each employee’s compensation at the time the plan was frozen. The present value of these amounts are the present value of a single life annuity generally payable at later or normal retirement age, adjusted for changes in discount rates and government mandated mortality tables. See Note 14 —Employee Benefit Plans, to Star’s Consolidated Financial Statements, for the material assumptions applied in quantifying the present value of the accumulated benefits of these frozen plans.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Defined Contribution and Other Nonqualified Deferred Compensation Plans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w:t>
      </w:r>
    </w:p>
    <w:p>
      <w:pPr>
        <w:spacing w:after="0" w:line="121"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If Mr. Woosnam’s employment is terminated for reasons other than for cause or if Mr. Woosnam terminates his employment for good reason, he will be entitled to receive one-year’s salary as severance, except in the case of a termination following a change in control which is discussed above under “Change in Control Agreements.” For 12 months following the termination of his employment, Mr. Woosnam is prohibited from competing with the Company or from becoming involved either as an employee, as a consultant or in any other capacity, in the sale of heating oil or propane on a retail basis.</w:t>
      </w:r>
    </w:p>
    <w:p>
      <w:pPr>
        <w:spacing w:after="0" w:line="180"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If Mr. Ambury’s employment is terminated for reasons other than cause or if Mr. Ambury terminates his employment for a good reason, he will be entitled to receive a severance payment of one year’s salary except in the case of a termination following a change in control which is discussed above under “Change in Control Agreements.” For 12 months following the termination of his employment, Mr. Ambury is prohibited from competing with the Company or from becoming involved either as an employee, as a consultant or in any other capacity, in the sale of heating oil or propane on a retail basis.</w:t>
      </w:r>
    </w:p>
    <w:p>
      <w:pPr>
        <w:spacing w:after="0" w:line="180" w:lineRule="exact"/>
        <w:rPr>
          <w:sz w:val="20"/>
          <w:szCs w:val="20"/>
          <w:color w:val="auto"/>
        </w:rPr>
      </w:pPr>
    </w:p>
    <w:p>
      <w:pPr>
        <w:ind w:right="220" w:firstLine="589"/>
        <w:spacing w:after="0" w:line="266" w:lineRule="auto"/>
        <w:rPr>
          <w:sz w:val="20"/>
          <w:szCs w:val="20"/>
          <w:color w:val="auto"/>
        </w:rPr>
      </w:pPr>
      <w:r>
        <w:rPr>
          <w:rFonts w:ascii="Times New Roman" w:cs="Times New Roman" w:eastAsia="Times New Roman" w:hAnsi="Times New Roman"/>
          <w:sz w:val="18"/>
          <w:szCs w:val="18"/>
          <w:color w:val="auto"/>
        </w:rPr>
        <w:t>The amounts shown in the table below assume that the triggering event for each named executive officer’s termination or change in control payment was effective as of the date of this Report based upon their historical compensation arrangements as of such date. The actual amounts to be paid out can only be determined at the time of such named executive officer’s termination of employment or Star’s change of control.</w:t>
      </w:r>
    </w:p>
    <w:p>
      <w:pPr>
        <w:spacing w:after="0" w:line="176"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The employment agreements of the foregoing officers also require that they not reveal confidential information of the Company within 12 months following the termination of their employment.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 Payments</w:t>
            </w:r>
          </w:p>
        </w:tc>
        <w:tc>
          <w:tcPr>
            <w:tcW w:w="180" w:type="dxa"/>
            <w:vAlign w:val="bottom"/>
          </w:tcPr>
          <w:p>
            <w:pPr>
              <w:spacing w:after="0"/>
              <w:rPr>
                <w:sz w:val="13"/>
                <w:szCs w:val="13"/>
                <w:color w:val="auto"/>
              </w:rPr>
            </w:pPr>
          </w:p>
        </w:tc>
        <w:tc>
          <w:tcPr>
            <w:tcW w:w="2180" w:type="dxa"/>
            <w:vAlign w:val="bottom"/>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Potential Payments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80" w:type="dxa"/>
            <w:vAlign w:val="bottom"/>
            <w:gridSpan w:val="3"/>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7"/>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21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Upon Termination</w:t>
            </w:r>
          </w:p>
        </w:tc>
        <w:tc>
          <w:tcPr>
            <w:tcW w:w="180" w:type="dxa"/>
            <w:vAlign w:val="bottom"/>
          </w:tcPr>
          <w:p>
            <w:pPr>
              <w:spacing w:after="0"/>
              <w:rPr>
                <w:sz w:val="13"/>
                <w:szCs w:val="13"/>
                <w:color w:val="auto"/>
              </w:rPr>
            </w:pPr>
          </w:p>
        </w:tc>
        <w:tc>
          <w:tcPr>
            <w:tcW w:w="2180" w:type="dxa"/>
            <w:vAlign w:val="bottom"/>
            <w:gridSpan w:val="7"/>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a Change of Control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bottom w:val="single" w:sz="8" w:color="CFF0FC"/>
            </w:tcBorders>
            <w:shd w:val="clear" w:color="auto" w:fill="000000"/>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1,738,700</w:t>
            </w:r>
          </w:p>
        </w:tc>
        <w:tc>
          <w:tcPr>
            <w:tcW w:w="80" w:type="dxa"/>
            <w:vAlign w:val="bottom"/>
            <w:shd w:val="clear" w:color="auto" w:fill="CFF0FC"/>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434,115</w:t>
            </w:r>
          </w:p>
        </w:tc>
        <w:tc>
          <w:tcPr>
            <w:tcW w:w="74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1,826,341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Director Compensation Table - Fiscal Year 2020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54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1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3"/>
                <w:szCs w:val="13"/>
                <w:color w:val="auto"/>
              </w:rPr>
            </w:pPr>
          </w:p>
        </w:tc>
        <w:tc>
          <w:tcPr>
            <w:tcW w:w="11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Earnings (2)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left="201"/>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A. Vermylen, Jr. (1)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center"/>
              <w:ind w:left="53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Daniel P. Donovan (4)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66,917</w:t>
            </w:r>
          </w:p>
        </w:tc>
        <w:tc>
          <w:tcPr>
            <w:tcW w:w="24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287,688</w:t>
            </w:r>
          </w:p>
        </w:tc>
        <w:tc>
          <w:tcPr>
            <w:tcW w:w="2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Henry D. Babcock (5)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center"/>
              <w:ind w:left="535"/>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M. Bauer (5)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24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 Scott Baxter (5)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center"/>
              <w:ind w:left="535"/>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Bryan H. Lawrence (6)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P. Nicoletti (7)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98,183</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center"/>
              <w:ind w:left="535"/>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is non-executive Chairman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4" w:name="page65"/>
    <w:bookmarkEnd w:id="64"/>
    <w:p>
      <w:pPr>
        <w:ind w:left="580" w:hanging="572"/>
        <w:spacing w:after="0" w:line="257"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and Mr. Donovan participate in one of our frozen defined benefit pension plans. Participants are currently not accruing additional benefits under the frozen plan. The change in the pension value reflects normal non-cash adjustments resulting from changes in discount rates and government mandated mortality tables.</w:t>
      </w:r>
    </w:p>
    <w:p>
      <w:pPr>
        <w:spacing w:after="0" w:line="1"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and Mr. Donovan reached the frozen defined benefit pension plan full retirement age in fiscal year 2012 and 2011, respectively, and started receiving pension payments.</w:t>
      </w:r>
    </w:p>
    <w:p>
      <w:pPr>
        <w:ind w:left="580" w:right="200" w:hanging="572"/>
        <w:spacing w:after="0" w:line="265" w:lineRule="auto"/>
        <w:tabs>
          <w:tab w:leader="none" w:pos="5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included for Mr. Donovan in all other compensation represents $224,577 for amounts paid to him under the management incentive compensation plan, and $63,111 for pension payments. Excludes amounts reported for Mr. Donovan in the Executive Compensation Table.</w:t>
      </w:r>
    </w:p>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Babcock, Mr. Bauer and Mr. Baxter are Audit Committee members.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Lawrence has chosen not to receive any fees as a director of the general partner of Star.</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Nicoletti is Chairman of the Audit Committee.</w:t>
      </w:r>
    </w:p>
    <w:p>
      <w:pPr>
        <w:spacing w:after="0" w:line="207"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Each non-management director receives an annual fee of $60,000 plus $1,500 for each regular and telephonic meeting attended. The Chairman of the Audit Committee receives an annual fee of $24,000 while other Audit Committee members receive an annual fee of $12,000. Each member of the Audit Committee receives $1,500 for every regular and telephonic meeting attended. The non-executive Chairman of the Board receives an annual fee of $120,000.</w:t>
      </w:r>
    </w:p>
    <w:p>
      <w:pPr>
        <w:spacing w:after="0" w:line="28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shows the beneficial ownership as of November 30, 2020 of common units and general partner units by:</w:t>
      </w:r>
    </w:p>
    <w:p>
      <w:pPr>
        <w:spacing w:after="0" w:line="117" w:lineRule="exact"/>
        <w:rPr>
          <w:sz w:val="20"/>
          <w:szCs w:val="20"/>
          <w:color w:val="auto"/>
        </w:rPr>
      </w:pPr>
    </w:p>
    <w:p>
      <w:pPr>
        <w:ind w:left="860" w:hanging="263"/>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Kestrel and certain beneficial owners;</w:t>
      </w:r>
    </w:p>
    <w:p>
      <w:pPr>
        <w:spacing w:after="0" w:line="117"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and directors of Kestrel Heat;</w:t>
      </w:r>
    </w:p>
    <w:p>
      <w:pPr>
        <w:spacing w:after="0" w:line="117"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of Kestrel Heat as a group; and</w:t>
      </w:r>
    </w:p>
    <w:p>
      <w:pPr>
        <w:spacing w:after="0" w:line="117"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the Company knows to hold 5% or more of the Company’s units.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Except as indicated, the address of each person is c/o Star Group, L.P. at 9 West Broad, Street, Suite 310, Stamford, Connecticut 06902.</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60" w:type="dxa"/>
            <w:vAlign w:val="bottom"/>
            <w:vMerge w:val="restart"/>
          </w:tcPr>
          <w:p>
            <w:pPr>
              <w:spacing w:after="0"/>
              <w:rPr>
                <w:sz w:val="15"/>
                <w:szCs w:val="15"/>
                <w:color w:val="auto"/>
              </w:rPr>
            </w:pPr>
          </w:p>
        </w:tc>
        <w:tc>
          <w:tcPr>
            <w:tcW w:w="17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General Partner Units</w:t>
            </w:r>
          </w:p>
        </w:tc>
        <w:tc>
          <w:tcPr>
            <w:tcW w:w="0" w:type="dxa"/>
            <w:vAlign w:val="bottom"/>
          </w:tcPr>
          <w:p>
            <w:pPr>
              <w:spacing w:after="0"/>
              <w:rPr>
                <w:sz w:val="1"/>
                <w:szCs w:val="1"/>
                <w:color w:val="auto"/>
              </w:rPr>
            </w:pPr>
          </w:p>
        </w:tc>
      </w:tr>
      <w:tr>
        <w:trPr>
          <w:trHeight w:val="147"/>
        </w:trPr>
        <w:tc>
          <w:tcPr>
            <w:tcW w:w="360" w:type="dxa"/>
            <w:vAlign w:val="bottom"/>
            <w:tcBorders>
              <w:bottom w:val="single" w:sz="8" w:color="auto"/>
            </w:tcBorders>
            <w:vMerge w:val="continue"/>
          </w:tcPr>
          <w:p>
            <w:pPr>
              <w:spacing w:after="0"/>
              <w:rPr>
                <w:sz w:val="12"/>
                <w:szCs w:val="12"/>
                <w:color w:val="auto"/>
              </w:rPr>
            </w:pPr>
          </w:p>
        </w:tc>
        <w:tc>
          <w:tcPr>
            <w:tcW w:w="4760" w:type="dxa"/>
            <w:vAlign w:val="bottom"/>
            <w:vMerge w:val="continue"/>
          </w:tcPr>
          <w:p>
            <w:pPr>
              <w:spacing w:after="0"/>
              <w:rPr>
                <w:sz w:val="12"/>
                <w:szCs w:val="12"/>
                <w:color w:val="auto"/>
              </w:rPr>
            </w:pPr>
          </w:p>
        </w:tc>
        <w:tc>
          <w:tcPr>
            <w:tcW w:w="124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Pr>
          <w:p>
            <w:pPr>
              <w:spacing w:after="0"/>
              <w:rPr>
                <w:sz w:val="12"/>
                <w:szCs w:val="12"/>
                <w:color w:val="auto"/>
              </w:rPr>
            </w:pPr>
          </w:p>
        </w:tc>
        <w:tc>
          <w:tcPr>
            <w:tcW w:w="122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Kestrel (a)</w:t>
            </w: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gridSpan w:val="2"/>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5"/>
              </w:rPr>
              <w:t>325,729</w:t>
            </w:r>
          </w:p>
        </w:tc>
        <w:tc>
          <w:tcPr>
            <w:tcW w:w="220" w:type="dxa"/>
            <w:vAlign w:val="bottom"/>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Vermylen, Jr. (b)</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1,304,661</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3.15%</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Henry D. Babcock (c)</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104,121</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P. Nicoletti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Bryan H. Lawrence (d)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1,101,848</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2.66%</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Scott Baxter</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M. Bauer (e)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1,254,662</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 Donovan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F. Ambury (f)</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38,390</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officers and directors and Kestrel Heat, LLC as a group</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10.58%</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(12 persons)</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4,385,688</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40" w:type="dxa"/>
            <w:vAlign w:val="bottom"/>
            <w:gridSpan w:val="2"/>
            <w:vMerge w:val="continue"/>
            <w:shd w:val="clear" w:color="auto" w:fill="CFF0FC"/>
          </w:tcPr>
          <w:p>
            <w:pPr>
              <w:spacing w:after="0"/>
              <w:rPr>
                <w:sz w:val="10"/>
                <w:szCs w:val="10"/>
                <w:color w:val="auto"/>
              </w:rPr>
            </w:pPr>
          </w:p>
        </w:tc>
        <w:tc>
          <w:tcPr>
            <w:tcW w:w="100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5"/>
              </w:rPr>
              <w:t>325,729</w:t>
            </w:r>
          </w:p>
        </w:tc>
        <w:tc>
          <w:tcPr>
            <w:tcW w:w="2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08"/>
        </w:trPr>
        <w:tc>
          <w:tcPr>
            <w:tcW w:w="5120" w:type="dxa"/>
            <w:vAlign w:val="bottom"/>
            <w:gridSpan w:val="2"/>
            <w:vMerge w:val="continue"/>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Bandera Partners, LLC (g)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3,514,115</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8.47%</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hanging="572"/>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500,000 Common Units and 325,729 general partner units owned by Kestrel Heat.</w:t>
      </w:r>
    </w:p>
    <w:p>
      <w:pPr>
        <w:spacing w:after="0" w:line="27" w:lineRule="exact"/>
        <w:rPr>
          <w:rFonts w:ascii="Times New Roman" w:cs="Times New Roman" w:eastAsia="Times New Roman" w:hAnsi="Times New Roman"/>
          <w:sz w:val="18"/>
          <w:szCs w:val="18"/>
          <w:color w:val="auto"/>
        </w:rPr>
      </w:pPr>
    </w:p>
    <w:p>
      <w:pPr>
        <w:ind w:left="580" w:right="140" w:hanging="572"/>
        <w:spacing w:after="0" w:line="260"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210,281 Common Units held by The Robin C. Vermylen 2016 Irrevocable Trust, with respect to which Mr. Vermylen is a trustee of the trust and a beneficiary of the trust; and 844,380 Common Units held by</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5" w:name="page66"/>
    <w:bookmarkEnd w:id="65"/>
    <w:p>
      <w:pPr>
        <w:ind w:left="580" w:right="20"/>
        <w:spacing w:after="0" w:line="261" w:lineRule="auto"/>
        <w:rPr>
          <w:sz w:val="20"/>
          <w:szCs w:val="20"/>
          <w:color w:val="auto"/>
        </w:rPr>
      </w:pPr>
      <w:r>
        <w:rPr>
          <w:rFonts w:ascii="Times New Roman" w:cs="Times New Roman" w:eastAsia="Times New Roman" w:hAnsi="Times New Roman"/>
          <w:sz w:val="18"/>
          <w:szCs w:val="18"/>
          <w:color w:val="auto"/>
        </w:rPr>
        <w:t>The Paul A. Vermylen, Jr. 2015 Irrevocable Trust, with respect to which Mr. Vermylen’s spouse is a beneficiary of the trust and Mr. Vermylen is the settlor of the trust.</w:t>
      </w:r>
    </w:p>
    <w:p>
      <w:pPr>
        <w:ind w:left="580" w:right="380" w:hanging="572"/>
        <w:spacing w:after="0" w:line="250"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94,121 Common Units owned by White Hill Trust, with respect to which Mr. Babcock’s sister-in-law and stepson are the trustees and Mr. Babcock’s wife is the primary beneficiary.</w:t>
      </w:r>
    </w:p>
    <w:p>
      <w:pPr>
        <w:ind w:left="580" w:right="80" w:hanging="572"/>
        <w:spacing w:after="0" w:line="265" w:lineRule="auto"/>
        <w:tabs>
          <w:tab w:leader="none" w:pos="5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427,734 Common Units owned by Yorktown Energy Partners VI, L.P. (“Yorktown VI”). Mr. Lawrence is a member and manager of Yorktown VI Associates LLC. The general partner of Yorktown VI Company LP, the general partner of Yorktown VI. Mr. Lawrence does not have sole or shared voting or investment power within the meaning of Rule 13d-3 of the Securities Exchange Act of 1934 with respect to the Common Units held by Yorktown VI and disclaims beneficial ownership of such securities except to the extent of his pecuniary interest therein.</w:t>
      </w:r>
    </w:p>
    <w:p>
      <w:pPr>
        <w:ind w:left="580" w:right="20" w:hanging="572"/>
        <w:spacing w:after="0" w:line="250"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Units are owned by Lubar Equity Fund, LLC. Mr. Bauer owns a minority interest in Lubar Equity Fund, LLC and is Chief Investment Officer of Lubar &amp; Co. Incorporated, the sole manager of Lubar Equity Fund, LLC. While Mr. Bauer serves on the investment committee of Lubar &amp; Co., Inc., he does not have sole or shared voting or investment power within the meaning of Rule 13d-3 of the Securities and Exchange Act of 1934 with respect to the Common Units held by Lubar Equity Fund, LLC and disclaims beneficial ownership of such securities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are owned by the Richard F. Ambury 2013 Revocable Living Trust, with respect to which Mr. Ambury is the trustee.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Form 13F filed by Bandera Partners, LLC with the SEC on November 12, 2020.</w:t>
      </w:r>
    </w:p>
    <w:p>
      <w:pPr>
        <w:spacing w:after="0" w:line="9" w:lineRule="exact"/>
        <w:rPr>
          <w:sz w:val="20"/>
          <w:szCs w:val="20"/>
          <w:color w:val="auto"/>
        </w:rPr>
      </w:pPr>
    </w:p>
    <w:p>
      <w:pPr>
        <w:ind w:left="580" w:hanging="572"/>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less than 1%.</w:t>
      </w:r>
    </w:p>
    <w:p>
      <w:pPr>
        <w:spacing w:after="0" w:line="31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Star has a written conflict of interest policy and procedure that requires all officers, directors and employees to report to senior corporate management or the board of directors, all personal, financial or family interest in transactions that involve the individual and the Star. In addition, our Governance Guidelines provide that any monetary arrangement between a director and his or her affiliates (including any member of a director’s immediate family) and the Company or any of its affiliates for goods or services shall be subject to approval by the full Board of Directors.</w:t>
      </w:r>
    </w:p>
    <w:p>
      <w:pPr>
        <w:spacing w:after="0" w:line="180" w:lineRule="exact"/>
        <w:rPr>
          <w:sz w:val="20"/>
          <w:szCs w:val="20"/>
          <w:color w:val="auto"/>
        </w:rPr>
      </w:pPr>
    </w:p>
    <w:p>
      <w:pPr>
        <w:jc w:val="both"/>
        <w:ind w:right="60" w:firstLine="589"/>
        <w:spacing w:after="0" w:line="258" w:lineRule="auto"/>
        <w:rPr>
          <w:sz w:val="20"/>
          <w:szCs w:val="20"/>
          <w:color w:val="auto"/>
        </w:rPr>
      </w:pPr>
      <w:r>
        <w:rPr>
          <w:rFonts w:ascii="Times New Roman" w:cs="Times New Roman" w:eastAsia="Times New Roman" w:hAnsi="Times New Roman"/>
          <w:sz w:val="18"/>
          <w:szCs w:val="18"/>
          <w:color w:val="auto"/>
        </w:rPr>
        <w:t>The general partner does not receive any management fee or other compensation for its management of Star. The general partner is reimbursed for all expenses incurred on behalf of the Star, including the cost of compensation, that are properly allocable to Star. Our Partnership Agreement provides that the general partner shall determine the expenses that are allocable to Star in any reasonable manner determined by the general partner in its sole discretion. In addition, the general partner and its affiliates may provide services to the Star for which a reasonable fee would be charged as determined by the general partner.</w:t>
      </w:r>
    </w:p>
    <w:p>
      <w:pPr>
        <w:spacing w:after="0" w:line="183"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Kestrel has the ability to elect the Board of Directors of Kestrel Heat, including Messrs. Vermylen, Bauer and Lawrence. Messrs. Vermylen, Bauer and Lawrence are also members of the board of managers of Kestrel and, either directly or through affiliated entities, own equity interests in Kestrel. Kestrel owns all of the issued and outstanding membership interests of Kestrel Heat.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Regarding Transactions with Related Persons</w:t>
      </w:r>
    </w:p>
    <w:p>
      <w:pPr>
        <w:spacing w:after="0" w:line="121"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Our Code of Business Conduct and Ethics, Partnership Governance Guidelines and Partnership Agreement set forth policies and procedures with respect to transactions with persons affiliated with the Company and the resolution of conflicts of interest, which taken together provide the Company with a framework for the review and approval of “transactions” with “related persons” as such terms are defined in Item 404 of Regulation S-K.</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years ended September 30, 2020, 2019, and 2018, Star had no related party transactions or agreements pursuant to Item 404 of Regulation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w:t>
      </w:r>
    </w:p>
    <w:p>
      <w:pPr>
        <w:spacing w:after="0" w:line="207"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Our Code of Business Conduct and Ethics applies to our directors, officers, employees and their affiliates. It deals with conflicts of interest (e.g., transactions with the Company), confidential information, use of Star assets, business dealings, and other similar topics. The Code requires officers, directors and employees to avoid even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right="180"/>
        <w:spacing w:after="0" w:line="282" w:lineRule="auto"/>
        <w:rPr>
          <w:sz w:val="20"/>
          <w:szCs w:val="20"/>
          <w:color w:val="auto"/>
        </w:rPr>
      </w:pPr>
      <w:r>
        <w:rPr>
          <w:rFonts w:ascii="Times New Roman" w:cs="Times New Roman" w:eastAsia="Times New Roman" w:hAnsi="Times New Roman"/>
          <w:sz w:val="18"/>
          <w:szCs w:val="18"/>
          <w:color w:val="auto"/>
        </w:rPr>
        <w:t>appearance of a conflict of interest and to report potential conflicts of interest to the Company’s Senior Vice President Accounting or Director of Internal Audit.</w:t>
      </w:r>
    </w:p>
    <w:p>
      <w:pPr>
        <w:spacing w:after="0" w:line="162"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Our Partnership Governance Guidelines provide that any monetary arrangement between a director and his or her affiliates (including any member of a director’s immediate family) and the Company or any of its affiliates for goods or services shall be subject to approval by the full Board of Directors. Although the Partnership Governance Guidelines by their terms only apply to directors the Board intends to apply this requirement to officers and employees and their affiliates.</w:t>
      </w:r>
    </w:p>
    <w:p>
      <w:pPr>
        <w:spacing w:after="0" w:line="180"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To the extent that the Board determines that it would be in the best interests of the Company to enter into a transaction with a related person, the Board intends to utilize the procedures set forth in the Partnership Agreement for the review and approval of potential conflicts of interest. Our Partnership Agreement provides that whenever a potential conflict of interest exists or arises between the general partner or any of its Affiliates (including its directors, executive officers and controlling members), on the one hand, and the Company or any partner, on the other hand, any resolution or course of action in respect of such conflict of interest shall be permitted and deemed approved by all partners, and shall not constitute a breach of the Partnership Agreement, of any agreement contemplated therein, or of any duty stated or implied by law or equity, if the resolution or course of action is, or by operation of the Partnership Agreement is deemed to be, fair and reasonable to the Company.</w:t>
      </w:r>
    </w:p>
    <w:p>
      <w:pPr>
        <w:spacing w:after="0" w:line="189"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Any conflict of interest and any resolution of such conflict of interest shall be conclusively deemed fair and reasonable to the Company if such conflict of interest or resolution is (i) approved by a committee of independent directors (the “Conflicts Committee”), (ii) on terms no less favorable to the Company than those generally being provided to or available from unrelated third parties or (iii) fair to the Company, taking into account the totality of the relationships between the parties involved (including other transactions that may be particularly favorable or advantageous to the Company).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general partner (including the Conflicts Committee) is authorized in connection with its determination of what is “fair and reasonable”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in connection with its resolution of any conflict of interest to consider:</w:t>
      </w:r>
    </w:p>
    <w:p>
      <w:pPr>
        <w:spacing w:after="0" w:line="99" w:lineRule="exact"/>
        <w:rPr>
          <w:sz w:val="20"/>
          <w:szCs w:val="20"/>
          <w:color w:val="auto"/>
        </w:rPr>
      </w:pPr>
    </w:p>
    <w:p>
      <w:pPr>
        <w:ind w:left="1020" w:hanging="43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interests of any party to such conflict, agreement, transaction or situation and the benefits and burdens relating to such interest;</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or accepted industry practices and any customary or historical dealings with a particular person;</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generally accepted accounting practices or principles; and</w:t>
      </w:r>
    </w:p>
    <w:p>
      <w:pPr>
        <w:spacing w:after="0" w:line="117" w:lineRule="exact"/>
        <w:rPr>
          <w:rFonts w:ascii="Times New Roman" w:cs="Times New Roman" w:eastAsia="Times New Roman" w:hAnsi="Times New Roman"/>
          <w:sz w:val="18"/>
          <w:szCs w:val="18"/>
          <w:color w:val="auto"/>
        </w:rPr>
      </w:pPr>
    </w:p>
    <w:p>
      <w:pPr>
        <w:ind w:left="1020" w:right="100" w:hanging="43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factors as the general partner (including the Conflicts Committee) determines in its sole discretion to be relevant, reasonable or appropriate under the circumstances.</w:t>
      </w:r>
    </w:p>
    <w:p>
      <w:pPr>
        <w:spacing w:after="0" w:line="26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aggregate fees for professional audit services rendered by KPMG LLP including fees for the audit of our annual financial statements for the fiscal years 2020 and 2019, and for fees billed and accrued for other services rendered by KPMG LLP (in thousands).</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2,208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 (2)</w:t>
            </w:r>
          </w:p>
        </w:tc>
        <w:tc>
          <w:tcPr>
            <w:tcW w:w="21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FF0FC"/>
          </w:tcPr>
          <w:p>
            <w:pPr>
              <w:spacing w:after="0"/>
              <w:rPr>
                <w:sz w:val="19"/>
                <w:szCs w:val="19"/>
                <w:color w:val="auto"/>
              </w:rPr>
            </w:pPr>
          </w:p>
        </w:tc>
      </w:tr>
      <w:tr>
        <w:trPr>
          <w:trHeight w:val="223"/>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Fees</w:t>
            </w:r>
          </w:p>
        </w:tc>
        <w:tc>
          <w:tcPr>
            <w:tcW w:w="21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40" w:hanging="600"/>
        <w:spacing w:after="0" w:line="261" w:lineRule="auto"/>
        <w:tabs>
          <w:tab w:leader="none" w:pos="10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Audit fees were for professional services rendered in connection with audits and quarterly reviews of the consolidated financial statements of the Company.</w:t>
      </w:r>
    </w:p>
    <w:p>
      <w:pPr>
        <w:ind w:left="1040" w:hanging="600"/>
        <w:spacing w:after="0"/>
        <w:tabs>
          <w:tab w:leader="none" w:pos="10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Tax fees related to services for tax consulting and tax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0972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7" w:name="page68"/>
    <w:bookmarkEnd w:id="67"/>
    <w:p>
      <w:pPr>
        <w:ind w:firstLine="58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Committee: Pre-Approval Policies and Procedures. </w:t>
      </w:r>
      <w:r>
        <w:rPr>
          <w:rFonts w:ascii="Times New Roman" w:cs="Times New Roman" w:eastAsia="Times New Roman" w:hAnsi="Times New Roman"/>
          <w:sz w:val="18"/>
          <w:szCs w:val="18"/>
          <w:color w:val="auto"/>
        </w:rPr>
        <w:t>At its regularly scheduled and special meetings, the Audit Committee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considers and pre-approves any audit and non-audit services to be performed by the Company’s independent accountants. The Audit Committee has delegated to its chairman, an independent member of the Company’s Board of Directors, the authority to grant pre-approvals of non-audit services provided that the service(s) shall be reported to the Audit Committee at its next regularly scheduled meeting. On June 18, 2003, the Audit Committee adopted its pre-approval policies and procedures. Since that date, there have been no audit or non-audit services rendered by the Company’s principal accountants that were not pre-approved.</w:t>
      </w: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5" w:right="479" w:bottom="1440" w:gutter="0" w:footer="0" w:header="0"/>
        </w:sectPr>
      </w:pPr>
    </w:p>
    <w:bookmarkStart w:id="68" w:name="page69"/>
    <w:bookmarkEnd w:id="68"/>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780" w:hanging="18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Statements—See “Index to Consolidated Financial Statements and Financial Statement Schedule” set forth on page F-1.</w:t>
      </w:r>
    </w:p>
    <w:p>
      <w:pPr>
        <w:spacing w:after="0" w:line="225" w:lineRule="exact"/>
        <w:rPr>
          <w:rFonts w:ascii="Times New Roman" w:cs="Times New Roman" w:eastAsia="Times New Roman" w:hAnsi="Times New Roman"/>
          <w:sz w:val="18"/>
          <w:szCs w:val="18"/>
          <w:color w:val="auto"/>
        </w:rPr>
      </w:pPr>
    </w:p>
    <w:p>
      <w:pPr>
        <w:ind w:left="780" w:hanging="183"/>
        <w:spacing w:after="0"/>
        <w:tabs>
          <w:tab w:leader="none" w:pos="7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Schedule—See “Index to Consolidated Financial Statements and Financial Statement Schedule” set forth on page F-1.</w:t>
      </w:r>
    </w:p>
    <w:p>
      <w:pPr>
        <w:spacing w:after="0" w:line="236" w:lineRule="exact"/>
        <w:rPr>
          <w:rFonts w:ascii="Times New Roman" w:cs="Times New Roman" w:eastAsia="Times New Roman" w:hAnsi="Times New Roman"/>
          <w:sz w:val="17"/>
          <w:szCs w:val="17"/>
          <w:color w:val="auto"/>
        </w:rPr>
      </w:pPr>
    </w:p>
    <w:p>
      <w:pPr>
        <w:ind w:left="780" w:hanging="18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Exhibits—See “Index to Exhibits” set forth on the following page.</w:t>
      </w:r>
    </w:p>
    <w:p>
      <w:pPr>
        <w:spacing w:after="0" w:line="2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80" w:type="dxa"/>
            <w:vAlign w:val="bottom"/>
            <w:gridSpan w:val="23"/>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560" w:type="dxa"/>
            <w:vAlign w:val="bottom"/>
          </w:tcPr>
          <w:p>
            <w:pPr>
              <w:spacing w:after="0"/>
              <w:rPr>
                <w:sz w:val="20"/>
                <w:szCs w:val="20"/>
                <w:color w:val="auto"/>
              </w:rPr>
            </w:pPr>
          </w:p>
        </w:tc>
      </w:tr>
      <w:tr>
        <w:trPr>
          <w:trHeight w:val="340"/>
        </w:trPr>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7"/>
        </w:trPr>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160" w:type="dxa"/>
            <w:vAlign w:val="bottom"/>
            <w:gridSpan w:val="22"/>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91"/>
        </w:trPr>
        <w:tc>
          <w:tcPr>
            <w:tcW w:w="580" w:type="dxa"/>
            <w:vAlign w:val="bottom"/>
          </w:tcPr>
          <w:p>
            <w:pPr>
              <w:spacing w:after="0"/>
              <w:rPr>
                <w:sz w:val="24"/>
                <w:szCs w:val="24"/>
                <w:color w:val="auto"/>
              </w:rPr>
            </w:pPr>
          </w:p>
        </w:tc>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84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Certificate of Limited Partnership (Incorporated by reference to an exhibit to the Registrant’s</w:t>
              </w:r>
            </w:hyperlink>
          </w:p>
        </w:tc>
        <w:tc>
          <w:tcPr>
            <w:tcW w:w="4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Quarterly Report on Form 10-Q filed with the Commission on May 9, 2006.)</w:t>
              </w:r>
            </w:hyperlink>
          </w:p>
        </w:tc>
        <w:tc>
          <w:tcPr>
            <w:tcW w:w="326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r>
      <w:tr>
        <w:trPr>
          <w:trHeight w:val="317"/>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86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Certificate of Amendment to Amended and Restated Certificate of Limited Partnership (Incorporated by reference to an</w:t>
              </w:r>
            </w:hyperlink>
          </w:p>
        </w:tc>
        <w:tc>
          <w:tcPr>
            <w:tcW w:w="18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gridSpan w:val="27"/>
          </w:tcPr>
          <w:p>
            <w:pPr>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exhibit to the Registrant’s Current Report on Form 8-K with the Commission on October 27, 2017.)</w:t>
              </w:r>
            </w:hyperlink>
          </w:p>
        </w:tc>
        <w:tc>
          <w:tcPr>
            <w:tcW w:w="560" w:type="dxa"/>
            <w:vAlign w:val="bottom"/>
          </w:tcPr>
          <w:p>
            <w:pPr>
              <w:spacing w:after="0"/>
              <w:rPr>
                <w:sz w:val="20"/>
                <w:szCs w:val="20"/>
                <w:color w:val="auto"/>
              </w:rPr>
            </w:pPr>
          </w:p>
        </w:tc>
      </w:tr>
      <w:tr>
        <w:trPr>
          <w:trHeight w:val="297"/>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8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Third Amended and Restated Agreement of Limited Partnership (Incorporated by reference to an exhibit to the</w:t>
              </w:r>
            </w:hyperlink>
          </w:p>
        </w:tc>
        <w:tc>
          <w:tcPr>
            <w:tcW w:w="82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2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Registrant’s Current Report on Form 8-K with the Commission on November 6, 2017.)</w:t>
              </w:r>
            </w:hyperlink>
          </w:p>
        </w:tc>
        <w:tc>
          <w:tcPr>
            <w:tcW w:w="56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820" w:type="dxa"/>
            <w:vAlign w:val="bottom"/>
            <w:gridSpan w:val="27"/>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Letter Agreement and general release dated March 7, 2005 between Star Gas Partners L.P. and Irik P. Sevin†</w:t>
              </w:r>
            </w:hyperlink>
          </w:p>
        </w:tc>
        <w:tc>
          <w:tcPr>
            <w:tcW w:w="5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(Incorporated by reference to an exhibit to the Registrant’s Current Report on Form 8-K filed with the Commission on</w:t>
              </w:r>
            </w:hyperlink>
          </w:p>
        </w:tc>
        <w:tc>
          <w:tcPr>
            <w:tcW w:w="3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2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March 8, 2005.)</w:t>
              </w:r>
            </w:hyperlink>
          </w:p>
        </w:tc>
        <w:tc>
          <w:tcPr>
            <w:tcW w:w="56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88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Management Incentive Compensation Plan† (Incorporated by reference to an exhibit to the Registrant’s Current Report on</w:t>
              </w:r>
            </w:hyperlink>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8-K with the Commission on July 21, 2006.)</w:t>
              </w:r>
            </w:hyperlink>
          </w:p>
        </w:tc>
        <w:tc>
          <w:tcPr>
            <w:tcW w:w="516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r>
      <w:tr>
        <w:trPr>
          <w:trHeight w:val="317"/>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8820" w:type="dxa"/>
            <w:vAlign w:val="bottom"/>
            <w:gridSpan w:val="2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Amended and Restated Management Incentive Compensation Plan† (Incorporated by reference to an exhibit to the</w:t>
              </w:r>
            </w:hyperlink>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Registrant’s Current Report on Form 8-K with the Commission on July 20, 2012.)</w:t>
              </w:r>
            </w:hyperlink>
          </w:p>
        </w:tc>
        <w:tc>
          <w:tcPr>
            <w:tcW w:w="2340" w:type="dxa"/>
            <w:vAlign w:val="bottom"/>
            <w:tcBorders>
              <w:top w:val="single" w:sz="8" w:color="0000EE"/>
            </w:tcBorders>
            <w:gridSpan w:val="7"/>
          </w:tcPr>
          <w:p>
            <w:pPr>
              <w:spacing w:after="0"/>
              <w:rPr>
                <w:sz w:val="17"/>
                <w:szCs w:val="17"/>
                <w:color w:val="auto"/>
              </w:rPr>
            </w:pPr>
          </w:p>
        </w:tc>
        <w:tc>
          <w:tcPr>
            <w:tcW w:w="5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r>
      <w:tr>
        <w:trPr>
          <w:trHeight w:val="318"/>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88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Indemnification Agreement for Officers and Directors (Incorporated by reference to an exhibit to the Registrant’s</w:t>
              </w:r>
            </w:hyperlink>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2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Current Report on Form 8-K with the Commission on July 21, 2006.)</w:t>
              </w:r>
            </w:hyperlink>
          </w:p>
        </w:tc>
        <w:tc>
          <w:tcPr>
            <w:tcW w:w="56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8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Amendment No. 1 to Indemnification Agreement (Incorporated by reference to an exhibit to the Registrant’s</w:t>
              </w:r>
            </w:hyperlink>
          </w:p>
        </w:tc>
        <w:tc>
          <w:tcPr>
            <w:tcW w:w="3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2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Current Report on Form 8-K with the Commission on October 23, 2006.)</w:t>
              </w:r>
            </w:hyperlink>
          </w:p>
        </w:tc>
        <w:tc>
          <w:tcPr>
            <w:tcW w:w="56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8820" w:type="dxa"/>
            <w:vAlign w:val="bottom"/>
            <w:gridSpan w:val="27"/>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Modification of Profit Sharing Plan† (Incorporated by reference to an exhibit to the Registrant’s Annual Report on Form</w:t>
              </w:r>
            </w:hyperlink>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10-K filed with the Commission on December 10, 2014.)</w:t>
              </w:r>
            </w:hyperlink>
          </w:p>
        </w:tc>
        <w:tc>
          <w:tcPr>
            <w:tcW w:w="1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8820" w:type="dxa"/>
            <w:vAlign w:val="bottom"/>
            <w:gridSpan w:val="27"/>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Change in Control Agreement dated December 4, 2007 between Star Gas Partners, L.P. and Daniel P. Donovan†</w:t>
              </w:r>
            </w:hyperlink>
          </w:p>
        </w:tc>
        <w:tc>
          <w:tcPr>
            <w:tcW w:w="5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60" w:type="dxa"/>
            <w:vAlign w:val="bottom"/>
            <w:gridSpan w:val="8"/>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2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(Incorporated by reference to an exhibit to the Registrant’s Annual Report on Form 10-K filed with the Commission on</w:t>
              </w:r>
            </w:hyperlink>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December 7, 2007.)</w:t>
              </w:r>
            </w:hyperlink>
          </w:p>
        </w:tc>
        <w:tc>
          <w:tcPr>
            <w:tcW w:w="7140" w:type="dxa"/>
            <w:vAlign w:val="bottom"/>
            <w:tcBorders>
              <w:top w:val="single" w:sz="8" w:color="0000EE"/>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r>
      <w:tr>
        <w:trPr>
          <w:trHeight w:val="318"/>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8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Change in Control Agreement dated December 4, 2007 between Star Gas Partners, L.P. and Richard F. Ambury†</w:t>
              </w:r>
            </w:hyperlink>
          </w:p>
        </w:tc>
        <w:tc>
          <w:tcPr>
            <w:tcW w:w="70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2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(Incorporated by reference to an exhibit to the Registrant’s Annual Report on Form 10-K filed with the Commission on</w:t>
              </w:r>
            </w:hyperlink>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December 7, 2007.)</w:t>
              </w:r>
            </w:hyperlink>
          </w:p>
        </w:tc>
        <w:tc>
          <w:tcPr>
            <w:tcW w:w="7140" w:type="dxa"/>
            <w:vAlign w:val="bottom"/>
            <w:tcBorders>
              <w:top w:val="single" w:sz="8" w:color="0000EE"/>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r>
      <w:tr>
        <w:trPr>
          <w:trHeight w:val="318"/>
        </w:trPr>
        <w:tc>
          <w:tcPr>
            <w:tcW w:w="17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8820" w:type="dxa"/>
            <w:vAlign w:val="bottom"/>
            <w:gridSpan w:val="27"/>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Employment Agreement dated April 28, 2008 between Star Gas Partners, L.P. and Richard Ambury† (Incorporated by</w:t>
              </w:r>
            </w:hyperlink>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reference to an exhibit to the Registrant’s Annual Report on Form 10-K filed with the Commission on December 10,</w:t>
              </w:r>
            </w:hyperlink>
          </w:p>
        </w:tc>
        <w:tc>
          <w:tcPr>
            <w:tcW w:w="12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06">
              <w:r>
                <w:rPr>
                  <w:rFonts w:ascii="Times New Roman" w:cs="Times New Roman" w:eastAsia="Times New Roman" w:hAnsi="Times New Roman"/>
                  <w:sz w:val="18"/>
                  <w:szCs w:val="18"/>
                  <w:color w:val="0000EE"/>
                  <w:w w:val="94"/>
                </w:rPr>
                <w:t>2008.</w:t>
              </w:r>
              <w:r>
                <w:rPr>
                  <w:rFonts w:ascii="Times New Roman" w:cs="Times New Roman" w:eastAsia="Times New Roman" w:hAnsi="Times New Roman"/>
                  <w:sz w:val="18"/>
                  <w:szCs w:val="18"/>
                  <w:u w:val="single" w:color="auto"/>
                  <w:color w:val="0000EE"/>
                  <w:w w:val="94"/>
                </w:rPr>
                <w:t>)</w:t>
              </w:r>
            </w:hyperlink>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18"/>
        </w:trPr>
        <w:tc>
          <w:tcPr>
            <w:tcW w:w="17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87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Agreement dated November 2, 2009 between Star Gas Partners, L.P. and Richard G. Oakley† (Incorporated by reference</w:t>
              </w:r>
            </w:hyperlink>
          </w:p>
        </w:tc>
        <w:tc>
          <w:tcPr>
            <w:tcW w:w="12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2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to an exhibit to the Registrant’s Current Report on Form 8-K dated November 3, 2009.)</w:t>
              </w:r>
            </w:hyperlink>
          </w:p>
        </w:tc>
        <w:tc>
          <w:tcPr>
            <w:tcW w:w="56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00" w:type="dxa"/>
            <w:vAlign w:val="bottom"/>
            <w:gridSpan w:val="12"/>
            <w:shd w:val="clear" w:color="auto" w:fill="0000EE"/>
          </w:tcPr>
          <w:p>
            <w:pPr>
              <w:spacing w:after="0" w:line="20" w:lineRule="exact"/>
              <w:rPr>
                <w:sz w:val="1"/>
                <w:szCs w:val="1"/>
                <w:color w:val="auto"/>
              </w:rPr>
            </w:pPr>
          </w:p>
        </w:tc>
        <w:tc>
          <w:tcPr>
            <w:tcW w:w="244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7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8820" w:type="dxa"/>
            <w:vAlign w:val="bottom"/>
            <w:gridSpan w:val="27"/>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Letter Agreement, dated as of July 22, 2013, between the Partnership and Steven Goldman regarding Change of Control†</w:t>
              </w:r>
            </w:hyperlink>
          </w:p>
        </w:tc>
        <w:tc>
          <w:tcPr>
            <w:tcW w:w="56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tcBorders>
              <w:top w:val="single" w:sz="8" w:color="0000EE"/>
            </w:tcBorders>
            <w:gridSpan w:val="26"/>
          </w:tcPr>
          <w:p>
            <w:pPr>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(Incorporated by reference to an exhibit to the Registrant’s Current Report on Form 8-K dated July 23, 2013.)</w:t>
              </w:r>
            </w:hyperlink>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53"/>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20" w:type="dxa"/>
            <w:vAlign w:val="bottom"/>
            <w:gridSpan w:val="7"/>
          </w:tcPr>
          <w:p>
            <w:pPr>
              <w:jc w:val="right"/>
              <w:ind w:right="188"/>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tbl>
      <w:tblPr>
        <w:tblLayout w:type="fixed"/>
        <w:tblInd w:w="56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7"/>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380" w:type="dxa"/>
            <w:vAlign w:val="bottom"/>
            <w:gridSpan w:val="10"/>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1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8820" w:type="dxa"/>
            <w:vAlign w:val="bottom"/>
            <w:gridSpan w:val="13"/>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First Amendment to Letter Agreement, dated as of September 30, 2015, between the Partnership and Dan Donovan</w:t>
              </w:r>
            </w:hyperlink>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300" w:type="dxa"/>
            <w:vAlign w:val="bottom"/>
            <w:tcBorders>
              <w:top w:val="single" w:sz="8" w:color="0000EE"/>
            </w:tcBorders>
            <w:gridSpan w:val="7"/>
          </w:tcPr>
          <w:p>
            <w:pPr>
              <w:spacing w:after="0"/>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(Incorporated by reference to an exhibit to the Registrant’s Current Report on Form 8-K dated October 2, 2015.)</w:t>
              </w:r>
            </w:hyperlink>
          </w:p>
        </w:tc>
        <w:tc>
          <w:tcPr>
            <w:tcW w:w="520" w:type="dxa"/>
            <w:vAlign w:val="bottom"/>
            <w:gridSpan w:val="6"/>
          </w:tcPr>
          <w:p>
            <w:pPr>
              <w:spacing w:after="0"/>
              <w:rPr>
                <w:sz w:val="20"/>
                <w:szCs w:val="20"/>
                <w:color w:val="auto"/>
              </w:rPr>
            </w:pPr>
          </w:p>
        </w:tc>
      </w:tr>
      <w:tr>
        <w:trPr>
          <w:trHeight w:val="297"/>
        </w:trPr>
        <w:tc>
          <w:tcPr>
            <w:tcW w:w="1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8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Letter Agreement, dated as of December 6, 2016, between the Partnership and Steven Goldman regarding employment†</w:t>
              </w:r>
            </w:hyperlink>
          </w:p>
        </w:tc>
        <w:tc>
          <w:tcPr>
            <w:tcW w:w="1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gridSpan w:val="13"/>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(Incorporated by reference to an exhibit to the Registrant’s Annual Report on Form 10-K filed with the Commission on</w:t>
              </w:r>
            </w:hyperlink>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December 7, 2016.)</w:t>
              </w:r>
            </w:hyperlink>
          </w:p>
        </w:tc>
        <w:tc>
          <w:tcPr>
            <w:tcW w:w="714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318"/>
        </w:trPr>
        <w:tc>
          <w:tcPr>
            <w:tcW w:w="1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84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Letter Agreement, dated as of June 19, 2019, between the Company and Jeffrey M. Woosnam regarding employment</w:t>
              </w:r>
            </w:hyperlink>
          </w:p>
        </w:tc>
        <w:tc>
          <w:tcPr>
            <w:tcW w:w="380" w:type="dxa"/>
            <w:vAlign w:val="bottom"/>
            <w:gridSpan w:val="5"/>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gridSpan w:val="13"/>
          </w:tcPr>
          <w:p>
            <w:pPr>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(Incorporated by reference to an exhibit to Registrant’s Current Report on Form 8-K dated June 21, 2019.)</w:t>
              </w:r>
            </w:hyperlink>
          </w:p>
        </w:tc>
      </w:tr>
      <w:tr>
        <w:trPr>
          <w:trHeight w:val="297"/>
        </w:trPr>
        <w:tc>
          <w:tcPr>
            <w:tcW w:w="1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Fifth Amended and Restated Credit Agreement, dated as of December 4, 2019 (Incorporated by reference to an exhibit to</w:t>
              </w:r>
            </w:hyperlink>
          </w:p>
        </w:tc>
        <w:tc>
          <w:tcPr>
            <w:tcW w:w="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the Registrant’s Annual Report on Form 10-K filed with the Commission on December 5, 2019.)</w:t>
              </w:r>
            </w:hyperlink>
          </w:p>
        </w:tc>
        <w:tc>
          <w:tcPr>
            <w:tcW w:w="1840" w:type="dxa"/>
            <w:vAlign w:val="bottom"/>
            <w:gridSpan w:val="9"/>
          </w:tcPr>
          <w:p>
            <w:pPr>
              <w:spacing w:after="0"/>
              <w:rPr>
                <w:sz w:val="17"/>
                <w:szCs w:val="17"/>
                <w:color w:val="auto"/>
              </w:rPr>
            </w:pPr>
          </w:p>
        </w:tc>
      </w:tr>
      <w:tr>
        <w:trPr>
          <w:trHeight w:val="318"/>
        </w:trPr>
        <w:tc>
          <w:tcPr>
            <w:tcW w:w="1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8820" w:type="dxa"/>
            <w:vAlign w:val="bottom"/>
            <w:gridSpan w:val="13"/>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Fifth Amended and Restated Pledge and Security Agreement, dated as of December 4, 2019 (Incorporated by reference to</w:t>
              </w:r>
            </w:hyperlink>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80" w:type="dxa"/>
            <w:vAlign w:val="bottom"/>
            <w:tcBorders>
              <w:top w:val="single" w:sz="8" w:color="0000EE"/>
            </w:tcBorders>
            <w:gridSpan w:val="12"/>
          </w:tcPr>
          <w:p>
            <w:pPr>
              <w:spacing w:after="0"/>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an exhibit to the Registrant’s Annual Report on Form 10-K filed with the Commission on December 5, 2019.)</w:t>
              </w:r>
            </w:hyperlink>
          </w:p>
        </w:tc>
        <w:tc>
          <w:tcPr>
            <w:tcW w:w="40" w:type="dxa"/>
            <w:vAlign w:val="bottom"/>
          </w:tcPr>
          <w:p>
            <w:pPr>
              <w:spacing w:after="0"/>
              <w:rPr>
                <w:sz w:val="20"/>
                <w:szCs w:val="20"/>
                <w:color w:val="auto"/>
              </w:rPr>
            </w:pPr>
          </w:p>
        </w:tc>
      </w:tr>
      <w:tr>
        <w:trPr>
          <w:trHeight w:val="297"/>
        </w:trPr>
        <w:tc>
          <w:tcPr>
            <w:tcW w:w="1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8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18">
              <w:r>
                <w:rPr>
                  <w:rFonts w:ascii="Times New Roman" w:cs="Times New Roman" w:eastAsia="Times New Roman" w:hAnsi="Times New Roman"/>
                  <w:sz w:val="18"/>
                  <w:szCs w:val="18"/>
                  <w:color w:val="0000EE"/>
                  <w:w w:val="99"/>
                </w:rPr>
                <w:t>Unit Purchase Agreement, dated as of November 16, 2020, between the Company and Moab Partners, L.P. (Filed</w:t>
              </w:r>
            </w:hyperlink>
          </w:p>
        </w:tc>
        <w:tc>
          <w:tcPr>
            <w:tcW w:w="66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18">
              <w:r>
                <w:rPr>
                  <w:rFonts w:ascii="Times New Roman" w:cs="Times New Roman" w:eastAsia="Times New Roman" w:hAnsi="Times New Roman"/>
                  <w:sz w:val="18"/>
                  <w:szCs w:val="18"/>
                  <w:color w:val="0000EE"/>
                  <w:w w:val="97"/>
                </w:rPr>
                <w:t>herewith.)</w:t>
              </w:r>
            </w:hyperlink>
          </w:p>
        </w:tc>
        <w:tc>
          <w:tcPr>
            <w:tcW w:w="8080" w:type="dxa"/>
            <w:vAlign w:val="bottom"/>
            <w:gridSpan w:val="11"/>
          </w:tcPr>
          <w:p>
            <w:pPr>
              <w:spacing w:after="0"/>
              <w:rPr>
                <w:sz w:val="17"/>
                <w:szCs w:val="17"/>
                <w:color w:val="auto"/>
              </w:rPr>
            </w:pPr>
          </w:p>
        </w:tc>
      </w:tr>
      <w:tr>
        <w:trPr>
          <w:trHeight w:val="358"/>
        </w:trPr>
        <w:tc>
          <w:tcPr>
            <w:tcW w:w="1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8820" w:type="dxa"/>
            <w:vAlign w:val="bottom"/>
            <w:gridSpan w:val="13"/>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Waiver to the Fifth Amended and Restated Credit Agreement, dated as of November 5, 2020. (Filed herewith.)</w:t>
              </w:r>
            </w:hyperlink>
          </w:p>
        </w:tc>
      </w:tr>
      <w:tr>
        <w:trPr>
          <w:trHeight w:val="391"/>
        </w:trPr>
        <w:tc>
          <w:tcPr>
            <w:tcW w:w="1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8820" w:type="dxa"/>
            <w:vAlign w:val="bottom"/>
            <w:gridSpan w:val="13"/>
          </w:tcPr>
          <w:p>
            <w:pPr>
              <w:spacing w:after="0"/>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Unit Purchase Agreement, dated as of November 16, 2020, between the Company and Moab Partner, L.P. (Filed</w:t>
              </w:r>
            </w:hyperlink>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37">
              <w:r>
                <w:rPr>
                  <w:rFonts w:ascii="Times New Roman" w:cs="Times New Roman" w:eastAsia="Times New Roman" w:hAnsi="Times New Roman"/>
                  <w:sz w:val="18"/>
                  <w:szCs w:val="18"/>
                  <w:color w:val="0000EE"/>
                  <w:w w:val="97"/>
                </w:rPr>
                <w:t>herewith.)</w:t>
              </w:r>
            </w:hyperlink>
          </w:p>
        </w:tc>
        <w:tc>
          <w:tcPr>
            <w:tcW w:w="7340" w:type="dxa"/>
            <w:vAlign w:val="bottom"/>
            <w:tcBorders>
              <w:top w:val="single" w:sz="8" w:color="0000EE"/>
            </w:tcBorders>
            <w:gridSpan w:val="3"/>
          </w:tcPr>
          <w:p>
            <w:pPr>
              <w:spacing w:after="0"/>
              <w:rPr>
                <w:sz w:val="17"/>
                <w:szCs w:val="17"/>
                <w:color w:val="auto"/>
              </w:rPr>
            </w:pPr>
          </w:p>
        </w:tc>
        <w:tc>
          <w:tcPr>
            <w:tcW w:w="740" w:type="dxa"/>
            <w:vAlign w:val="bottom"/>
            <w:gridSpan w:val="8"/>
          </w:tcPr>
          <w:p>
            <w:pPr>
              <w:spacing w:after="0"/>
              <w:rPr>
                <w:sz w:val="17"/>
                <w:szCs w:val="17"/>
                <w:color w:val="auto"/>
              </w:rPr>
            </w:pPr>
          </w:p>
        </w:tc>
      </w:tr>
    </w:tbl>
    <w:p>
      <w:pPr>
        <w:spacing w:after="0" w:line="130" w:lineRule="exact"/>
        <w:rPr>
          <w:sz w:val="20"/>
          <w:szCs w:val="20"/>
          <w:color w:val="auto"/>
        </w:rPr>
      </w:pPr>
    </w:p>
    <w:p>
      <w:pPr>
        <w:ind w:left="1860" w:right="60" w:hanging="1202"/>
        <w:spacing w:after="0" w:line="282" w:lineRule="auto"/>
        <w:tabs>
          <w:tab w:leader="none" w:pos="1860" w:val="left"/>
        </w:tabs>
        <w:numPr>
          <w:ilvl w:val="0"/>
          <w:numId w:val="43"/>
        </w:numPr>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Code of Business Conduct and Ethics (Incorporated by reference to an exhibit to the Registrant’s Current Report on Form</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8-K dated November 14, 2014.)</w:t>
        </w:r>
      </w:hyperlink>
    </w:p>
    <w:p>
      <w:pPr>
        <w:spacing w:after="0" w:line="67" w:lineRule="exact"/>
        <w:rPr>
          <w:rFonts w:ascii="Times New Roman" w:cs="Times New Roman" w:eastAsia="Times New Roman" w:hAnsi="Times New Roman"/>
          <w:sz w:val="18"/>
          <w:szCs w:val="18"/>
          <w:color w:val="auto"/>
        </w:rPr>
      </w:pPr>
    </w:p>
    <w:tbl>
      <w:tblPr>
        <w:tblLayout w:type="fixed"/>
        <w:tblInd w:w="560" w:type="dxa"/>
        <w:tblCellMar>
          <w:top w:w="0" w:type="dxa"/>
          <w:left w:w="0" w:type="dxa"/>
          <w:bottom w:w="0" w:type="dxa"/>
          <w:right w:w="0" w:type="dxa"/>
        </w:tblCellMar>
      </w:tblPr>
      <w:tr>
        <w:trPr>
          <w:trHeight w:val="23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8540" w:type="dxa"/>
            <w:vAlign w:val="bottom"/>
            <w:gridSpan w:val="3"/>
          </w:tcPr>
          <w:p>
            <w:pPr>
              <w:spacing w:after="0"/>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Subsidiaries of the Registrant (Filed herewith.)</w:t>
              </w:r>
            </w:hyperlink>
          </w:p>
        </w:tc>
      </w:tr>
      <w:tr>
        <w:trPr>
          <w:trHeight w:val="338"/>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8540" w:type="dxa"/>
            <w:vAlign w:val="bottom"/>
            <w:gridSpan w:val="3"/>
          </w:tcPr>
          <w:p>
            <w:pPr>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Certification of Chief Executive Officer, Star Group, L.P., pursuant to Rule 13a-14(a)/15d-14(a)</w:t>
              </w:r>
            </w:hyperlink>
          </w:p>
        </w:tc>
      </w:tr>
      <w:tr>
        <w:trPr>
          <w:trHeight w:val="338"/>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8540" w:type="dxa"/>
            <w:vAlign w:val="bottom"/>
            <w:gridSpan w:val="3"/>
          </w:tcPr>
          <w:p>
            <w:pPr>
              <w:spacing w:after="0"/>
              <w:rPr>
                <w:rFonts w:ascii="Times New Roman" w:cs="Times New Roman" w:eastAsia="Times New Roman" w:hAnsi="Times New Roman"/>
                <w:sz w:val="18"/>
                <w:szCs w:val="18"/>
                <w:u w:val="single" w:color="auto"/>
                <w:color w:val="0000EE"/>
              </w:rPr>
            </w:pPr>
            <w:hyperlink w:anchor="page144">
              <w:r>
                <w:rPr>
                  <w:rFonts w:ascii="Times New Roman" w:cs="Times New Roman" w:eastAsia="Times New Roman" w:hAnsi="Times New Roman"/>
                  <w:sz w:val="18"/>
                  <w:szCs w:val="18"/>
                  <w:u w:val="single" w:color="auto"/>
                  <w:color w:val="0000EE"/>
                </w:rPr>
                <w:t>Certification of Chief Financial Officer, Star Group, L.P., pursuant to Rule 13a-14(a)/15d-14(a)</w:t>
              </w:r>
            </w:hyperlink>
          </w:p>
        </w:tc>
      </w:tr>
      <w:tr>
        <w:trPr>
          <w:trHeight w:val="297"/>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85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45">
              <w:r>
                <w:rPr>
                  <w:rFonts w:ascii="Times New Roman" w:cs="Times New Roman" w:eastAsia="Times New Roman" w:hAnsi="Times New Roman"/>
                  <w:sz w:val="18"/>
                  <w:szCs w:val="18"/>
                  <w:color w:val="0000EE"/>
                  <w:w w:val="99"/>
                </w:rPr>
                <w:t>Certification of Chief Executive Officer pursuant to 18 U.S.C. Section 1350, as adopted pursuant to Section 906 of the</w:t>
              </w:r>
            </w:hyperlink>
          </w:p>
        </w:tc>
      </w:tr>
      <w:tr>
        <w:trPr>
          <w:trHeight w:val="196"/>
        </w:trPr>
        <w:tc>
          <w:tcPr>
            <w:tcW w:w="130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45">
              <w:r>
                <w:rPr>
                  <w:rFonts w:ascii="Times New Roman" w:cs="Times New Roman" w:eastAsia="Times New Roman" w:hAnsi="Times New Roman"/>
                  <w:sz w:val="18"/>
                  <w:szCs w:val="18"/>
                  <w:color w:val="0000EE"/>
                  <w:w w:val="99"/>
                </w:rPr>
                <w:t>Sarbanes-Oxley Act of 2002</w:t>
              </w:r>
            </w:hyperlink>
          </w:p>
        </w:tc>
        <w:tc>
          <w:tcPr>
            <w:tcW w:w="6480" w:type="dxa"/>
            <w:vAlign w:val="bottom"/>
            <w:gridSpan w:val="2"/>
          </w:tcPr>
          <w:p>
            <w:pPr>
              <w:spacing w:after="0"/>
              <w:rPr>
                <w:sz w:val="17"/>
                <w:szCs w:val="17"/>
                <w:color w:val="auto"/>
              </w:rPr>
            </w:pPr>
          </w:p>
        </w:tc>
      </w:tr>
      <w:tr>
        <w:trPr>
          <w:trHeight w:val="318"/>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8540" w:type="dxa"/>
            <w:vAlign w:val="bottom"/>
            <w:gridSpan w:val="3"/>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Certification of Chief Financial Officer pursuant to 18 U.S.C. Section 1350, as adopted pursuant to Section 906 of the</w:t>
              </w:r>
            </w:hyperlink>
          </w:p>
        </w:tc>
      </w:tr>
      <w:tr>
        <w:trPr>
          <w:trHeight w:val="196"/>
        </w:trPr>
        <w:tc>
          <w:tcPr>
            <w:tcW w:w="130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46">
              <w:r>
                <w:rPr>
                  <w:rFonts w:ascii="Times New Roman" w:cs="Times New Roman" w:eastAsia="Times New Roman" w:hAnsi="Times New Roman"/>
                  <w:sz w:val="18"/>
                  <w:szCs w:val="18"/>
                  <w:color w:val="0000EE"/>
                  <w:w w:val="99"/>
                </w:rPr>
                <w:t>Sarbanes-Oxley Act of 2002</w:t>
              </w:r>
            </w:hyperlink>
          </w:p>
        </w:tc>
        <w:tc>
          <w:tcPr>
            <w:tcW w:w="6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03" w:lineRule="exact"/>
        <w:rPr>
          <w:sz w:val="20"/>
          <w:szCs w:val="20"/>
          <w:color w:val="auto"/>
        </w:rPr>
      </w:pPr>
    </w:p>
    <w:p>
      <w:pPr>
        <w:ind w:left="1860" w:hanging="1292"/>
        <w:spacing w:after="0"/>
        <w:tabs>
          <w:tab w:leader="none" w:pos="1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Exibit 101)</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0972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7" w:lineRule="exact"/>
        <w:rPr>
          <w:sz w:val="20"/>
          <w:szCs w:val="20"/>
          <w:color w:val="auto"/>
        </w:rPr>
      </w:pPr>
    </w:p>
    <w:p>
      <w:pPr>
        <w:ind w:left="580" w:hanging="572"/>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plan.</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02" w:right="89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20" w:firstLine="5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general partner has duly caused this report to be signed on its behalf by the undersigned thereunto duly authorized this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December,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GROUP,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KESTREL HEAT, LLC (General Partner)</w:t>
            </w:r>
          </w:p>
        </w:tc>
      </w:tr>
      <w:tr>
        <w:trPr>
          <w:trHeight w:val="24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M. Woosnam</w:t>
            </w:r>
          </w:p>
        </w:tc>
      </w:tr>
      <w:tr>
        <w:trPr>
          <w:trHeight w:val="234"/>
        </w:trPr>
        <w:tc>
          <w:tcPr>
            <w:tcW w:w="8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Jeffrey M. Woosnam</w:t>
            </w:r>
          </w:p>
        </w:tc>
      </w:tr>
      <w:tr>
        <w:trPr>
          <w:trHeight w:val="238"/>
        </w:trPr>
        <w:tc>
          <w:tcPr>
            <w:tcW w:w="8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bl>
    <w:p>
      <w:pPr>
        <w:spacing w:after="0" w:line="198"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 indicated:</w:t>
      </w:r>
    </w:p>
    <w:p>
      <w:pPr>
        <w:sectPr>
          <w:pgSz w:w="11900" w:h="16838" w:orient="portrait"/>
          <w:cols w:equalWidth="0" w:num="1">
            <w:col w:w="11220"/>
          </w:cols>
          <w:pgMar w:left="320" w:top="117" w:right="359" w:bottom="1440" w:gutter="0" w:footer="0" w:header="0"/>
        </w:sectPr>
      </w:pPr>
    </w:p>
    <w:p>
      <w:pPr>
        <w:spacing w:after="0" w:line="15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7089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 Jeffrey M. Woosnam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33020</wp:posOffset>
            </wp:positionV>
            <wp:extent cx="27089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13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Richard F. Ambury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7089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Cory A. Czekanski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7089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Cory A. Czekanski</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 Paul A. Vermylen,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33020</wp:posOffset>
            </wp:positionV>
            <wp:extent cx="27089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6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Paul A. Vermylen, Jr.</w:t>
      </w:r>
    </w:p>
    <w:p>
      <w:pPr>
        <w:spacing w:after="0" w:line="1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Henry D. Babcock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7089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Henry D. Babcock</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 Kestrel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 LLC</w:t>
            </w:r>
          </w:p>
        </w:tc>
        <w:tc>
          <w:tcPr>
            <w:tcW w:w="2240" w:type="dxa"/>
            <w:vAlign w:val="bottom"/>
          </w:tcPr>
          <w:p>
            <w:pPr>
              <w:spacing w:after="0"/>
              <w:rPr>
                <w:sz w:val="20"/>
                <w:szCs w:val="20"/>
                <w:color w:val="auto"/>
              </w:rPr>
            </w:pPr>
          </w:p>
        </w:tc>
      </w:tr>
      <w:tr>
        <w:trPr>
          <w:trHeight w:val="38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 Treasurer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Secretary (Principal</w:t>
            </w:r>
          </w:p>
        </w:tc>
        <w:tc>
          <w:tcPr>
            <w:tcW w:w="2240" w:type="dxa"/>
            <w:vAlign w:val="bottom"/>
          </w:tcPr>
          <w:p>
            <w:pPr>
              <w:spacing w:after="0"/>
              <w:rPr>
                <w:sz w:val="18"/>
                <w:szCs w:val="18"/>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Kestrel Heat, LLC</w:t>
            </w:r>
          </w:p>
        </w:tc>
        <w:tc>
          <w:tcPr>
            <w:tcW w:w="2240" w:type="dxa"/>
            <w:vAlign w:val="bottom"/>
          </w:tcPr>
          <w:p>
            <w:pPr>
              <w:spacing w:after="0"/>
              <w:rPr>
                <w:sz w:val="20"/>
                <w:szCs w:val="20"/>
                <w:color w:val="auto"/>
              </w:rPr>
            </w:pPr>
          </w:p>
        </w:tc>
      </w:tr>
      <w:tr>
        <w:trPr>
          <w:trHeight w:val="31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President—Controller (Principal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 Kestrel Heat, LLC</w:t>
            </w:r>
          </w:p>
        </w:tc>
        <w:tc>
          <w:tcPr>
            <w:tcW w:w="2240" w:type="dxa"/>
            <w:vAlign w:val="bottom"/>
          </w:tcPr>
          <w:p>
            <w:pPr>
              <w:spacing w:after="0"/>
              <w:rPr>
                <w:sz w:val="20"/>
                <w:szCs w:val="20"/>
                <w:color w:val="auto"/>
              </w:rPr>
            </w:pPr>
          </w:p>
        </w:tc>
      </w:tr>
      <w:tr>
        <w:trPr>
          <w:trHeight w:val="38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Chairman of the Board and Director Kestrel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 LLC</w:t>
            </w:r>
          </w:p>
        </w:tc>
        <w:tc>
          <w:tcPr>
            <w:tcW w:w="2240" w:type="dxa"/>
            <w:vAlign w:val="bottom"/>
          </w:tcPr>
          <w:p>
            <w:pPr>
              <w:spacing w:after="0"/>
              <w:rPr>
                <w:sz w:val="20"/>
                <w:szCs w:val="20"/>
                <w:color w:val="auto"/>
              </w:rPr>
            </w:pPr>
          </w:p>
        </w:tc>
      </w:tr>
      <w:tr>
        <w:trPr>
          <w:trHeight w:val="40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Kestrel Heat,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bl>
    <w:p>
      <w:pPr>
        <w:spacing w:after="0" w:line="387" w:lineRule="exact"/>
        <w:rPr>
          <w:sz w:val="20"/>
          <w:szCs w:val="20"/>
          <w:color w:val="auto"/>
        </w:rPr>
      </w:pPr>
    </w:p>
    <w:p>
      <w:pPr>
        <w:sectPr>
          <w:pgSz w:w="11900" w:h="16838" w:orient="portrait"/>
          <w:cols w:equalWidth="0" w:num="2">
            <w:col w:w="3680" w:space="720"/>
            <w:col w:w="6820"/>
          </w:cols>
          <w:pgMar w:left="320" w:top="117" w:right="359" w:bottom="1440" w:gutter="0" w:footer="0" w:header="0"/>
          <w:type w:val="continuous"/>
        </w:sectPr>
      </w:pPr>
    </w:p>
    <w:tbl>
      <w:tblPr>
        <w:tblLayout w:type="fixed"/>
        <w:tblInd w:w="20" w:type="dxa"/>
        <w:tblCellMar>
          <w:top w:w="0" w:type="dxa"/>
          <w:left w:w="0" w:type="dxa"/>
          <w:bottom w:w="0" w:type="dxa"/>
          <w:right w:w="0" w:type="dxa"/>
        </w:tblCellMar>
      </w:tblPr>
      <w:tr>
        <w:trPr>
          <w:trHeight w:val="241"/>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Scott Baxter</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286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8"/>
              </w:rPr>
              <w:t>December 7, 2020</w:t>
            </w:r>
          </w:p>
        </w:tc>
      </w:tr>
      <w:tr>
        <w:trPr>
          <w:trHeight w:val="257"/>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Scott Baxter</w:t>
            </w:r>
          </w:p>
        </w:tc>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345"/>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M. Bauer</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286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8"/>
              </w:rPr>
              <w:t>December 7, 2020</w:t>
            </w:r>
          </w:p>
        </w:tc>
      </w:tr>
      <w:tr>
        <w:trPr>
          <w:trHeight w:val="257"/>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M. Bauer</w:t>
            </w:r>
          </w:p>
        </w:tc>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344"/>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P. Donovan</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286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8"/>
              </w:rPr>
              <w:t>December 7, 2020</w:t>
            </w:r>
          </w:p>
        </w:tc>
      </w:tr>
      <w:tr>
        <w:trPr>
          <w:trHeight w:val="257"/>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Daniel P. Donovan</w:t>
            </w:r>
          </w:p>
        </w:tc>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344"/>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Bryan H. Lawrence</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286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8"/>
              </w:rPr>
              <w:t>December 7, 2020</w:t>
            </w:r>
          </w:p>
        </w:tc>
      </w:tr>
      <w:tr>
        <w:trPr>
          <w:trHeight w:val="257"/>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Bryan H. Lawrence</w:t>
            </w:r>
          </w:p>
        </w:tc>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344"/>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P. Nicoletti</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286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8"/>
              </w:rPr>
              <w:t>December 7, 2020</w:t>
            </w:r>
          </w:p>
        </w:tc>
      </w:tr>
      <w:tr>
        <w:trPr>
          <w:trHeight w:val="257"/>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P. Nicoletti</w:t>
            </w:r>
          </w:p>
        </w:tc>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2" w:name="page73"/>
    <w:bookmarkEnd w:id="72"/>
    <w:p>
      <w:pPr>
        <w:jc w:val="center"/>
        <w:ind w:left="146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Financial Information:</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Item 8—Financial Statements</w:t>
      </w:r>
    </w:p>
    <w:p>
      <w:pPr>
        <w:spacing w:after="0" w:line="9" w:lineRule="exact"/>
        <w:rPr>
          <w:sz w:val="20"/>
          <w:szCs w:val="20"/>
          <w:color w:val="auto"/>
        </w:rPr>
      </w:pPr>
    </w:p>
    <w:p>
      <w:pPr>
        <w:ind w:left="48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Report of Independent Registered Public Accounting Firm</w:t>
        </w:r>
      </w:hyperlink>
    </w:p>
    <w:p>
      <w:pPr>
        <w:spacing w:after="0" w:line="9" w:lineRule="exact"/>
        <w:rPr>
          <w:sz w:val="20"/>
          <w:szCs w:val="20"/>
          <w:color w:val="auto"/>
        </w:rPr>
      </w:pPr>
    </w:p>
    <w:p>
      <w:pPr>
        <w:ind w:left="48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Consolidated Balance Sheets as of September 30, 2020 and September 30, 2019</w:t>
        </w:r>
      </w:hyperlink>
    </w:p>
    <w:p>
      <w:pPr>
        <w:spacing w:after="0" w:line="9" w:lineRule="exact"/>
        <w:rPr>
          <w:sz w:val="20"/>
          <w:szCs w:val="20"/>
          <w:color w:val="auto"/>
        </w:rPr>
      </w:pPr>
    </w:p>
    <w:p>
      <w:pPr>
        <w:ind w:left="480" w:right="240"/>
        <w:spacing w:after="0" w:line="250" w:lineRule="auto"/>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Consolidated Statements of Operations for the years ended September 30, 2020, September 30, 2019 and September 30, 2018</w:t>
        </w:r>
      </w:hyperlink>
      <w:r>
        <w:rPr>
          <w:rFonts w:ascii="Times New Roman" w:cs="Times New Roman" w:eastAsia="Times New Roman" w:hAnsi="Times New Roman"/>
          <w:sz w:val="18"/>
          <w:szCs w:val="18"/>
          <w:u w:val="single" w:color="auto"/>
          <w:color w:val="0000EE"/>
        </w:rPr>
        <w:t xml:space="preserve"> </w:t>
      </w:r>
      <w:hyperlink w:anchor="page78">
        <w:r>
          <w:rPr>
            <w:rFonts w:ascii="Times New Roman" w:cs="Times New Roman" w:eastAsia="Times New Roman" w:hAnsi="Times New Roman"/>
            <w:sz w:val="18"/>
            <w:szCs w:val="18"/>
            <w:u w:val="single" w:color="auto"/>
            <w:color w:val="0000EE"/>
          </w:rPr>
          <w:t>Consolidated Statements of Comprehensive Income for the years ended September 30, 2020, September 30, 2019 and</w:t>
        </w:r>
      </w:hyperlink>
      <w:r>
        <w:rPr>
          <w:rFonts w:ascii="Times New Roman" w:cs="Times New Roman" w:eastAsia="Times New Roman" w:hAnsi="Times New Roman"/>
          <w:sz w:val="18"/>
          <w:szCs w:val="18"/>
          <w:u w:val="single" w:color="auto"/>
          <w:color w:val="0000EE"/>
        </w:rPr>
        <w:t xml:space="preserve"> </w:t>
      </w:r>
      <w:hyperlink w:anchor="page78">
        <w:r>
          <w:rPr>
            <w:rFonts w:ascii="Times New Roman" w:cs="Times New Roman" w:eastAsia="Times New Roman" w:hAnsi="Times New Roman"/>
            <w:sz w:val="18"/>
            <w:szCs w:val="18"/>
            <w:u w:val="single" w:color="auto"/>
            <w:color w:val="0000EE"/>
          </w:rPr>
          <w:t>September 30, 2018</w:t>
        </w:r>
      </w:hyperlink>
    </w:p>
    <w:p>
      <w:pPr>
        <w:spacing w:after="0" w:line="1" w:lineRule="exact"/>
        <w:rPr>
          <w:rFonts w:ascii="Times New Roman" w:cs="Times New Roman" w:eastAsia="Times New Roman" w:hAnsi="Times New Roman"/>
          <w:sz w:val="18"/>
          <w:szCs w:val="18"/>
          <w:u w:val="single" w:color="auto"/>
          <w:color w:val="0000EE"/>
        </w:rPr>
      </w:pPr>
    </w:p>
    <w:p>
      <w:pPr>
        <w:ind w:left="480" w:right="240"/>
        <w:spacing w:after="0" w:line="250" w:lineRule="auto"/>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Consolidated Statements of Partners’ Capital for the years ended September 30, 2020, September 30, 2019 and September 30,</w:t>
        </w:r>
      </w:hyperlink>
      <w:r>
        <w:rPr>
          <w:rFonts w:ascii="Times New Roman" w:cs="Times New Roman" w:eastAsia="Times New Roman" w:hAnsi="Times New Roman"/>
          <w:sz w:val="18"/>
          <w:szCs w:val="18"/>
          <w:u w:val="single" w:color="auto"/>
          <w:color w:val="0000EE"/>
        </w:rPr>
        <w:t xml:space="preserve"> </w:t>
      </w:r>
      <w:hyperlink w:anchor="page79">
        <w:r>
          <w:rPr>
            <w:rFonts w:ascii="Times New Roman" w:cs="Times New Roman" w:eastAsia="Times New Roman" w:hAnsi="Times New Roman"/>
            <w:sz w:val="18"/>
            <w:szCs w:val="18"/>
            <w:u w:val="single" w:color="auto"/>
            <w:color w:val="0000EE"/>
          </w:rPr>
          <w:t>2018</w:t>
        </w:r>
      </w:hyperlink>
    </w:p>
    <w:p>
      <w:pPr>
        <w:spacing w:after="0" w:line="1" w:lineRule="exact"/>
        <w:rPr>
          <w:sz w:val="20"/>
          <w:szCs w:val="20"/>
          <w:color w:val="auto"/>
        </w:rPr>
      </w:pPr>
    </w:p>
    <w:p>
      <w:pPr>
        <w:ind w:left="480" w:right="200"/>
        <w:spacing w:after="0" w:line="250" w:lineRule="auto"/>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Consolidated Statements of Cash Flows for the years ended September 30, 2020, September 30, 2019 and September 30, 2018</w:t>
        </w:r>
      </w:hyperlink>
      <w:r>
        <w:rPr>
          <w:rFonts w:ascii="Times New Roman" w:cs="Times New Roman" w:eastAsia="Times New Roman" w:hAnsi="Times New Roman"/>
          <w:sz w:val="18"/>
          <w:szCs w:val="18"/>
          <w:u w:val="single" w:color="auto"/>
          <w:color w:val="0000EE"/>
        </w:rPr>
        <w:t xml:space="preserve"> </w:t>
      </w:r>
      <w:hyperlink w:anchor="page81">
        <w:r>
          <w:rPr>
            <w:rFonts w:ascii="Times New Roman" w:cs="Times New Roman" w:eastAsia="Times New Roman" w:hAnsi="Times New Roman"/>
            <w:sz w:val="18"/>
            <w:szCs w:val="18"/>
            <w:u w:val="single" w:color="auto"/>
            <w:color w:val="0000EE"/>
          </w:rPr>
          <w:t>Notes to Consolidated Financial Statements</w:t>
        </w:r>
      </w:hyperlink>
    </w:p>
    <w:p>
      <w:pPr>
        <w:spacing w:after="0" w:line="1" w:lineRule="exact"/>
        <w:rPr>
          <w:sz w:val="20"/>
          <w:szCs w:val="20"/>
          <w:color w:val="auto"/>
        </w:rPr>
      </w:pPr>
    </w:p>
    <w:p>
      <w:pPr>
        <w:ind w:left="700" w:right="2340" w:hanging="220"/>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Schedules for the years ended September 30, 2020, September 30, 2019 and September 30, 2018 </w:t>
      </w:r>
      <w:hyperlink w:anchor="page114">
        <w:r>
          <w:rPr>
            <w:rFonts w:ascii="Times New Roman" w:cs="Times New Roman" w:eastAsia="Times New Roman" w:hAnsi="Times New Roman"/>
            <w:sz w:val="18"/>
            <w:szCs w:val="18"/>
            <w:u w:val="single" w:color="auto"/>
            <w:color w:val="0000EE"/>
          </w:rPr>
          <w:t>I. Condensed Financial Information of Registrant</w:t>
        </w:r>
      </w:hyperlink>
    </w:p>
    <w:p>
      <w:pPr>
        <w:spacing w:after="0" w:line="1" w:lineRule="exact"/>
        <w:rPr>
          <w:sz w:val="20"/>
          <w:szCs w:val="20"/>
          <w:color w:val="auto"/>
        </w:rPr>
      </w:pPr>
    </w:p>
    <w:p>
      <w:pPr>
        <w:ind w:left="700"/>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II. Valuation and Qualifying Accounts</w:t>
        </w:r>
      </w:hyperlink>
    </w:p>
    <w:p>
      <w:pPr>
        <w:spacing w:after="0" w:line="207" w:lineRule="exact"/>
        <w:rPr>
          <w:sz w:val="20"/>
          <w:szCs w:val="20"/>
          <w:color w:val="auto"/>
        </w:rPr>
      </w:pPr>
    </w:p>
    <w:p>
      <w:pPr>
        <w:ind w:left="700" w:hanging="2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the notes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6350</wp:posOffset>
            </wp:positionV>
            <wp:extent cx="8655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F-2 – F-3</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F-4</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F-5</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 – F-41</w:t>
      </w:r>
    </w:p>
    <w:p>
      <w:pPr>
        <w:spacing w:after="0" w:line="207"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F-42 – F-44 F-45</w:t>
      </w:r>
    </w:p>
    <w:p>
      <w:pPr>
        <w:sectPr>
          <w:pgSz w:w="11900" w:h="16838" w:orient="portrait"/>
          <w:cols w:equalWidth="0" w:num="2">
            <w:col w:w="9780" w:space="500"/>
            <w:col w:w="860"/>
          </w:cols>
          <w:pgMar w:left="320" w:top="117" w:right="4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Unitholders of Star Group, L.P. and Board of Directors of Kestrel Heat,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Star Group, L.P. and subsidiaries (the Company) as of September 30, 2020 and 2019, the related consolidated statements of operations, comprehensive income, partners’ capital, and cash flows for each of the years in the three-year period ended September 30, 2020, and the related notes and financial statement schedules I and II (collectively, the consolidated financial statements). We also have audited the Company’s internal control over financial reporting as of September 30,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September 30, 2020 and 2019, and the results of its operations and its cash flows for each of the years in the three-year period ended September 30, 2020, in conformity with U.S. generally accepted accounting principles. Also in our opinion, the Company maintained, in all material respects, effective internal control over financial reporting as of September 30,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0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changed its method of accounting for leases as of October 1, 2019 due to the adoption of Accounting Standards Update No. 2016-02, Leases (“ASC Topic 842”)</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2020</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2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56,911</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Receivables, net of allowance of $6,121 and $8,378, respectively</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Assets held for sale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226,345</w:t>
            </w:r>
          </w:p>
        </w:tc>
        <w:tc>
          <w:tcPr>
            <w:tcW w:w="3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240,327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Captive insurance collateral</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838,616</w:t>
            </w:r>
          </w:p>
        </w:tc>
        <w:tc>
          <w:tcPr>
            <w:tcW w:w="3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752,706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7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127,286</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Unearned service contract revenue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 credit balances</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83,471</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344,855</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109,805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Common unitholders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273,283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(2,506)</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(14,957)</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(16,901)</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partners’ capital</w:t>
            </w:r>
          </w:p>
        </w:tc>
        <w:tc>
          <w:tcPr>
            <w:tcW w:w="1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255,820</w:t>
            </w:r>
          </w:p>
        </w:tc>
        <w:tc>
          <w:tcPr>
            <w:tcW w:w="3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40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838,616</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4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4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3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1,186,026</w:t>
            </w:r>
          </w:p>
        </w:tc>
        <w:tc>
          <w:tcPr>
            <w:tcW w:w="80" w:type="dxa"/>
            <w:vAlign w:val="bottom"/>
          </w:tcPr>
          <w:p>
            <w:pPr>
              <w:spacing w:after="0"/>
              <w:rPr>
                <w:sz w:val="19"/>
                <w:szCs w:val="19"/>
                <w:color w:val="auto"/>
              </w:rPr>
            </w:pP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1,466,045</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Installations and services</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281,432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287,827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sales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998,559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installations and services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253,724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267,607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Delivery and branch expenses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323,373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charge income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(5,105)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23"/>
        </w:trPr>
        <w:tc>
          <w:tcPr>
            <w:tcW w:w="240" w:type="dxa"/>
            <w:vAlign w:val="bottom"/>
            <w:tcBorders>
              <w:top w:val="single" w:sz="8" w:color="CFF0FC"/>
            </w:tcBorders>
            <w:shd w:val="clear" w:color="auto" w:fill="CFF0FC"/>
          </w:tcPr>
          <w:p>
            <w:pPr>
              <w:spacing w:after="0"/>
              <w:rPr>
                <w:sz w:val="19"/>
                <w:szCs w:val="19"/>
                <w:color w:val="auto"/>
              </w:rPr>
            </w:pPr>
          </w:p>
        </w:tc>
        <w:tc>
          <w:tcPr>
            <w:tcW w:w="540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92,968</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(11,164)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30"/>
        </w:trPr>
        <w:tc>
          <w:tcPr>
            <w:tcW w:w="5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9"/>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Borders>
              <w:top w:val="single" w:sz="8" w:color="CFF0FC"/>
            </w:tcBorders>
            <w:shd w:val="clear" w:color="auto" w:fill="CFF0FC"/>
          </w:tcPr>
          <w:p>
            <w:pPr>
              <w:spacing w:after="0"/>
              <w:rPr>
                <w:sz w:val="19"/>
                <w:szCs w:val="19"/>
                <w:color w:val="auto"/>
              </w:rPr>
            </w:pPr>
          </w:p>
        </w:tc>
        <w:tc>
          <w:tcPr>
            <w:tcW w:w="540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76,543</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shd w:val="clear" w:color="auto" w:fill="CFF0FC"/>
          </w:tcPr>
          <w:p>
            <w:pPr>
              <w:spacing w:after="0"/>
              <w:rPr>
                <w:sz w:val="19"/>
                <w:szCs w:val="19"/>
                <w:color w:val="auto"/>
              </w:rPr>
            </w:pPr>
          </w:p>
        </w:tc>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Borders>
              <w:bottom w:val="single" w:sz="8" w:color="CFF0FC"/>
            </w:tcBorders>
          </w:tcPr>
          <w:p>
            <w:pPr>
              <w:spacing w:after="0"/>
              <w:rPr>
                <w:sz w:val="19"/>
                <w:szCs w:val="19"/>
                <w:color w:val="auto"/>
              </w:rPr>
            </w:pPr>
          </w:p>
        </w:tc>
        <w:tc>
          <w:tcPr>
            <w:tcW w:w="54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General Partner’s interest in net income</w:t>
            </w:r>
          </w:p>
        </w:tc>
        <w:tc>
          <w:tcPr>
            <w:tcW w:w="10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10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55,541</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and diluted income per Limited Partner Unit (1):</w:t>
            </w:r>
          </w:p>
        </w:tc>
        <w:tc>
          <w:tcPr>
            <w:tcW w:w="1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FF0FC"/>
            </w:tcBorders>
            <w:gridSpan w:val="3"/>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54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See Note 19 - Earnings Per Limited Partner Units.</w:t>
            </w: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9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on pension plan obligation</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 on captive insurance collateral</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(loss) on captive insurance collateral</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 on interest rate hedge</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(loss) on interest rate hedge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2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CAPITAL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2020, 2019 and 2018</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7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Accum. Other</w:t>
            </w:r>
          </w:p>
        </w:tc>
        <w:tc>
          <w:tcPr>
            <w:tcW w:w="80" w:type="dxa"/>
            <w:vAlign w:val="bottom"/>
          </w:tcPr>
          <w:p>
            <w:pPr>
              <w:spacing w:after="0"/>
              <w:rPr>
                <w:sz w:val="15"/>
                <w:szCs w:val="15"/>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9"/>
              </w:rPr>
              <w:t>General</w:t>
            </w:r>
          </w:p>
        </w:tc>
        <w:tc>
          <w:tcPr>
            <w:tcW w:w="11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60"/>
        </w:trPr>
        <w:tc>
          <w:tcPr>
            <w:tcW w:w="51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8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1"/>
              <w:spacing w:after="0" w:line="160"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100" w:type="dxa"/>
            <w:vAlign w:val="bottom"/>
            <w:gridSpan w:val="3"/>
          </w:tcPr>
          <w:p>
            <w:pPr>
              <w:jc w:val="right"/>
              <w:ind w:right="101"/>
              <w:spacing w:after="0" w:line="160"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0"/>
        </w:trPr>
        <w:tc>
          <w:tcPr>
            <w:tcW w:w="880" w:type="dxa"/>
            <w:vAlign w:val="bottom"/>
            <w:tcBorders>
              <w:bottom w:val="single" w:sz="8" w:color="CFF0FC"/>
            </w:tcBorders>
            <w:shd w:val="clear" w:color="auto" w:fill="000000"/>
          </w:tcPr>
          <w:p>
            <w:pPr>
              <w:spacing w:after="0" w:line="20" w:lineRule="exact"/>
              <w:rPr>
                <w:sz w:val="1"/>
                <w:szCs w:val="1"/>
                <w:color w:val="auto"/>
              </w:rPr>
            </w:pPr>
          </w:p>
        </w:tc>
        <w:tc>
          <w:tcPr>
            <w:tcW w:w="424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55,888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$ 325,762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$ 306,068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Reclassification of stranded tax effects resulting from tax reform</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on pension plan obligation</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(625)</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Unrealized loss on captive insurance collateral</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(1,204)</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effect of unrealized loss on captive insurance collateral</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Unrealized gain on interest rate hedge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on interest rate hedge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Distributions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Retirement of units</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(2,800)</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(26,714)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(26,714)</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2018</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53,088</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$ 329,129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$ 309,785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Impact of adoption of ASU No. 2014-09</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on pension plan obligation</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(320)</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on captive insurance collateral</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(473)</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(1,993)</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loss on interest rate hedge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(25,593)</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Retirement of 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(5,403)</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(51,353)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(51,353)</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47,685</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$ 279,709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$ 260,840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on pension plan obligation</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(782)</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gain on captive insurance collateral</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(190)</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(1,193)</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effect of unrealized loss on interest rate hedge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(24,451)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Retirement of 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(4,357)</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(38,431)</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43,328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$ 273,283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(2,506</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(14,957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$ 255,820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FF0FC"/>
            </w:tcBorders>
            <w:shd w:val="clear" w:color="auto" w:fill="000000"/>
          </w:tcPr>
          <w:p>
            <w:pPr>
              <w:spacing w:after="0" w:line="20" w:lineRule="exact"/>
              <w:rPr>
                <w:sz w:val="1"/>
                <w:szCs w:val="1"/>
                <w:color w:val="auto"/>
              </w:rPr>
            </w:pPr>
          </w:p>
        </w:tc>
        <w:tc>
          <w:tcPr>
            <w:tcW w:w="54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80" w:type="dxa"/>
            <w:vAlign w:val="bottom"/>
          </w:tcPr>
          <w:p>
            <w:pPr>
              <w:spacing w:after="0"/>
              <w:rPr>
                <w:sz w:val="19"/>
                <w:szCs w:val="19"/>
                <w:color w:val="auto"/>
              </w:rPr>
            </w:pP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(Increase) decrease in fair value of derivative instruments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deferred taxes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(5,126)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(7,043)</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 net of amounts related to acquisitions: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(increase) in receivables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(37,149)</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(6,306)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(11,924)</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 customer credit balances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Increase in other current and long-term liabilities</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175,668</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(11,301)</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(13,590)</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security business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(10,417)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(11,058)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(35,242)</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(60,904)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(23,747)</w:t>
            </w:r>
          </w:p>
        </w:tc>
        <w:tc>
          <w:tcPr>
            <w:tcW w:w="0" w:type="dxa"/>
            <w:vAlign w:val="bottom"/>
          </w:tcPr>
          <w:p>
            <w:pPr>
              <w:spacing w:after="0"/>
              <w:rPr>
                <w:sz w:val="1"/>
                <w:szCs w:val="1"/>
                <w:color w:val="auto"/>
              </w:rPr>
            </w:pPr>
          </w:p>
        </w:tc>
      </w:tr>
      <w:tr>
        <w:trPr>
          <w:trHeight w:val="223"/>
        </w:trPr>
        <w:tc>
          <w:tcPr>
            <w:tcW w:w="63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(82,166)</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139,331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repayments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(151,702)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(79,331)</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(160,104)</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repayments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(76,300)</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(24,451)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(25,593)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repurchases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(51,353)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(26,714)</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retainage payments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3"/>
        </w:trPr>
        <w:tc>
          <w:tcPr>
            <w:tcW w:w="63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(95,515)</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Star Group, L.P. (“Star” the “Company,” “we,” “us,” or “our”) is a full service provider specializing in the sale of home heating and air conditioning products and services to residential and commercial home heating oil and propane customers. The Company has one reportable segment for accounting purposes. We also sell diesel, gasoline and home heating oil on a delivery only basis, and in certain of our marketing areas, we provide plumbing services primarily to our home heating oil and propane customer base. We believe we are the nation’s largest retail distributor of home heating oil based upon sales volume. Including our propane locations, we serve customers in the more northern and eastern states within the Northeast, Central and Southeast U.S. regions.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is organized as follows:</w:t>
      </w:r>
    </w:p>
    <w:p>
      <w:pPr>
        <w:spacing w:after="0" w:line="117" w:lineRule="exact"/>
        <w:rPr>
          <w:sz w:val="20"/>
          <w:szCs w:val="20"/>
          <w:color w:val="auto"/>
        </w:rPr>
      </w:pPr>
    </w:p>
    <w:p>
      <w:pPr>
        <w:ind w:left="1020" w:hanging="432"/>
        <w:spacing w:after="0"/>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is a limited partnership, which at September 30, 2020, had outstanding 43.3 million Common Units (NYSE: “SGU”), representing a</w:t>
      </w:r>
    </w:p>
    <w:p>
      <w:pPr>
        <w:spacing w:after="0" w:line="27" w:lineRule="exact"/>
        <w:rPr>
          <w:rFonts w:ascii="Times New Roman" w:cs="Times New Roman" w:eastAsia="Times New Roman" w:hAnsi="Times New Roman"/>
          <w:sz w:val="18"/>
          <w:szCs w:val="18"/>
          <w:color w:val="auto"/>
        </w:rPr>
      </w:pPr>
    </w:p>
    <w:p>
      <w:pPr>
        <w:ind w:left="1020" w:right="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99.3% limited partner interest in Star, and 0.3 million general partner units, representing a 0.7% general partner interest in Star. Our general partner is Kestrel Heat, LLC, a Delaware limited liability company (“Kestrel Heat” or the “general partner”). The Board of Directors of Kestrel Heat (the “Board”) is appointed by its sole member, Kestrel Energy Partners, LLC, a Delaware limited liability company (“Kestrel”).</w:t>
      </w:r>
    </w:p>
    <w:p>
      <w:pPr>
        <w:spacing w:after="0" w:line="60" w:lineRule="exact"/>
        <w:rPr>
          <w:rFonts w:ascii="Times New Roman" w:cs="Times New Roman" w:eastAsia="Times New Roman" w:hAnsi="Times New Roman"/>
          <w:sz w:val="18"/>
          <w:szCs w:val="18"/>
          <w:color w:val="auto"/>
        </w:rPr>
      </w:pPr>
    </w:p>
    <w:p>
      <w:pPr>
        <w:ind w:left="1020" w:right="100" w:hanging="432"/>
        <w:spacing w:after="0" w:line="255"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owns 100% of Star Acquisitions, Inc. (“SA”), a Minnesota corporation, that owns 100% of Petro Holdings, Inc. (“Petro”). SA and its subsidiaries are subject to Federal and state corporate income taxes. Star’s operations are conducted through Petro and its subsidiaries. Petro is primarily a Northeast and Mid-Atlantic U.S. region retail distributor of home heating oil and propane that at September 30, 2020 served approximately 440,100 full service residential and commercial home heating oil and propane customers and 64,400 customers on a delivery only basis. We also sell gasoline and diesel fuel to approximately 26,400 customers. We install, maintain, and repair heating and air conditioning equipment and to a lesser extent provide these services outside our heating oil and propane customer base including approximately 17,600 service contracts for natural gas and other heating systems.</w:t>
      </w:r>
    </w:p>
    <w:p>
      <w:pPr>
        <w:spacing w:after="0" w:line="80" w:lineRule="exact"/>
        <w:rPr>
          <w:rFonts w:ascii="Times New Roman" w:cs="Times New Roman" w:eastAsia="Times New Roman" w:hAnsi="Times New Roman"/>
          <w:sz w:val="18"/>
          <w:szCs w:val="18"/>
          <w:color w:val="auto"/>
        </w:rPr>
      </w:pPr>
    </w:p>
    <w:p>
      <w:pPr>
        <w:ind w:left="1020" w:right="100" w:hanging="432"/>
        <w:spacing w:after="0" w:line="261"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 wholly owned subsidiary of Star. PH&amp;P is the borrower and Star is the guarantor of the fifth amended and restated credit agreement’s $130 million five-year senior secured term loan and the $300 million ($450 million during the heating season of December through April of each year) revolving credit facility, both due December 4, 2024. (See Note 13—Long-Term Debt and Bank Facility Borrowings).</w:t>
      </w:r>
    </w:p>
    <w:p>
      <w:pPr>
        <w:spacing w:after="0" w:line="28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740" w:firstLine="58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Star Group, L.P. and its subsidiaries. All material intercompany items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19" w:lineRule="exact"/>
        <w:rPr>
          <w:sz w:val="20"/>
          <w:szCs w:val="20"/>
          <w:color w:val="auto"/>
        </w:rPr>
      </w:pPr>
    </w:p>
    <w:p>
      <w:pPr>
        <w:jc w:val="both"/>
        <w:ind w:right="240" w:firstLine="633"/>
        <w:spacing w:after="0" w:line="266" w:lineRule="auto"/>
        <w:rPr>
          <w:sz w:val="20"/>
          <w:szCs w:val="20"/>
          <w:color w:val="auto"/>
        </w:rPr>
      </w:pPr>
      <w:r>
        <w:rPr>
          <w:rFonts w:ascii="Times New Roman" w:cs="Times New Roman" w:eastAsia="Times New Roman" w:hAnsi="Times New Roman"/>
          <w:sz w:val="18"/>
          <w:szCs w:val="18"/>
          <w:color w:val="auto"/>
        </w:rPr>
        <w:t>Comprehensive income is comprised of Net income and Other comprehensive income. Other comprehensive income consists of the unrealized gain amortization on the Company’s pension plan obligation for its two frozen defined benefit pension plans, unrealized gain (loss) on available-for-sale investments, unrealized gain (loss) on interest rate hedge and the corresponding tax effects.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requires management to make estimates and assumptions that affect the reported amounts of assets and liabilities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ind w:right="500"/>
        <w:spacing w:after="0" w:line="282" w:lineRule="auto"/>
        <w:rPr>
          <w:sz w:val="20"/>
          <w:szCs w:val="20"/>
          <w:color w:val="auto"/>
        </w:rPr>
      </w:pPr>
      <w:r>
        <w:rPr>
          <w:rFonts w:ascii="Times New Roman" w:cs="Times New Roman" w:eastAsia="Times New Roman" w:hAnsi="Times New Roman"/>
          <w:sz w:val="18"/>
          <w:szCs w:val="18"/>
          <w:color w:val="auto"/>
        </w:rPr>
        <w:t>and disclosure of contingent assets and liabilities at the date of the financial statements and the reported amounts of revenue and expenses during the reporting period. Actual results could differ from those estimates.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40" w:firstLine="589"/>
        <w:spacing w:after="0" w:line="255" w:lineRule="auto"/>
        <w:rPr>
          <w:sz w:val="20"/>
          <w:szCs w:val="20"/>
          <w:color w:val="auto"/>
        </w:rPr>
      </w:pPr>
      <w:r>
        <w:rPr>
          <w:rFonts w:ascii="Times New Roman" w:cs="Times New Roman" w:eastAsia="Times New Roman" w:hAnsi="Times New Roman"/>
          <w:sz w:val="18"/>
          <w:szCs w:val="18"/>
          <w:color w:val="auto"/>
        </w:rPr>
        <w:t>Refer to Note 3 – Revenue Recognition for revenue recognition accounting policies. Sales of petroleum products are recognized at the time of delivery to the customer and sales of heating and air conditioning equipment are recognized upon completion of installation. Revenue from repairs, maintenance and other services are recognized upon completion of the service. Payments received from customers for equipment service contracts are deferred and amortized into income over the terms of the respective service contracts, on a straight-line basis, which generally do not exceed one year. To the extent that the Company anticipates that future costs for fulfilling its contractual obligations under its service maintenance contracts will exceed the amount of deferred revenue currently attributable to these contracts, the Company recognizes a loss in current period earnings equal to the amount that anticipated future costs exceed related deferred revenues.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w:t>
      </w:r>
    </w:p>
    <w:p>
      <w:pPr>
        <w:spacing w:after="0" w:line="119" w:lineRule="exact"/>
        <w:rPr>
          <w:sz w:val="20"/>
          <w:szCs w:val="20"/>
          <w:color w:val="auto"/>
        </w:rPr>
      </w:pPr>
    </w:p>
    <w:p>
      <w:pPr>
        <w:ind w:right="560" w:firstLine="589"/>
        <w:spacing w:after="0" w:line="282" w:lineRule="auto"/>
        <w:rPr>
          <w:sz w:val="20"/>
          <w:szCs w:val="20"/>
          <w:color w:val="auto"/>
        </w:rPr>
      </w:pPr>
      <w:r>
        <w:rPr>
          <w:rFonts w:ascii="Times New Roman" w:cs="Times New Roman" w:eastAsia="Times New Roman" w:hAnsi="Times New Roman"/>
          <w:sz w:val="18"/>
          <w:szCs w:val="18"/>
          <w:color w:val="auto"/>
        </w:rPr>
        <w:t>Cost of product includes the cost of home heating oil, diesel, propane, kerosene, gasoline, throughput costs, barging costs, option costs, and realized gains/losses on closed derivative positions for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Installations and Services</w:t>
      </w:r>
    </w:p>
    <w:p>
      <w:pPr>
        <w:spacing w:after="0" w:line="119" w:lineRule="exact"/>
        <w:rPr>
          <w:sz w:val="20"/>
          <w:szCs w:val="20"/>
          <w:color w:val="auto"/>
        </w:rPr>
      </w:pPr>
    </w:p>
    <w:p>
      <w:pPr>
        <w:ind w:right="460" w:firstLine="589"/>
        <w:spacing w:after="0" w:line="282" w:lineRule="auto"/>
        <w:rPr>
          <w:sz w:val="20"/>
          <w:szCs w:val="20"/>
          <w:color w:val="auto"/>
        </w:rPr>
      </w:pPr>
      <w:r>
        <w:rPr>
          <w:rFonts w:ascii="Times New Roman" w:cs="Times New Roman" w:eastAsia="Times New Roman" w:hAnsi="Times New Roman"/>
          <w:sz w:val="18"/>
          <w:szCs w:val="18"/>
          <w:color w:val="auto"/>
        </w:rPr>
        <w:t>Cost of installations and services includes equipment and material costs, wages and benefits for equipment technicians, dispatchers and other support personnel, subcontractor expenses, commissions and vehicle related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Branch Expenses</w:t>
      </w:r>
    </w:p>
    <w:p>
      <w:pPr>
        <w:spacing w:after="0" w:line="119" w:lineRule="exact"/>
        <w:rPr>
          <w:sz w:val="20"/>
          <w:szCs w:val="20"/>
          <w:color w:val="auto"/>
        </w:rPr>
      </w:pPr>
    </w:p>
    <w:p>
      <w:pPr>
        <w:ind w:right="440" w:firstLine="589"/>
        <w:spacing w:after="0" w:line="266" w:lineRule="auto"/>
        <w:rPr>
          <w:sz w:val="20"/>
          <w:szCs w:val="20"/>
          <w:color w:val="auto"/>
        </w:rPr>
      </w:pPr>
      <w:r>
        <w:rPr>
          <w:rFonts w:ascii="Times New Roman" w:cs="Times New Roman" w:eastAsia="Times New Roman" w:hAnsi="Times New Roman"/>
          <w:sz w:val="18"/>
          <w:szCs w:val="18"/>
          <w:color w:val="auto"/>
        </w:rPr>
        <w:t>Delivery and branch expenses include wages and benefits and department related costs for drivers, dispatchers, garage mechanics, customer service, sales and marketing, compliance, credit and branch accounting, information technology, vehicle and property rental costs, insurance, weather hedge contract costs and recoveries, and operational management and support.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property costs, wages and benefits (including profit sharing) and department related costs for human resources, finance and corporate accounting, internal audit, administrative support and supply.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Net Income</w:t>
      </w:r>
    </w:p>
    <w:p>
      <w:pPr>
        <w:spacing w:after="0" w:line="119" w:lineRule="exact"/>
        <w:rPr>
          <w:sz w:val="20"/>
          <w:szCs w:val="20"/>
          <w:color w:val="auto"/>
        </w:rPr>
      </w:pPr>
    </w:p>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Net income for partners’ capital and statement of operations is allocated to the general partner and the limited partners in accordance with their respective ownership percentages, after giving effect to cash distributions paid to the general partner in excess of its ownership interest, if 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Limited Partner Unit</w:t>
      </w:r>
    </w:p>
    <w:p>
      <w:pPr>
        <w:spacing w:after="0" w:line="119"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Income per limited partner unit is computed in accordance with the Financial Accounting Standards Board (“FASB”) Accounting Standards Codification (“ASC”) 260-10-05 Earnings Per Share, Master Limited Partnerships (EITF 03-06), by dividing the limited partners’ interest in net income by the weighted average number of limited partner units outstanding. The pro forma nature of the allocation required by this standard provides that in any accounting period where the Company’s aggregate net income exceeds its aggregate distribution for such period, the Company is required to present net income per limited partner unit as if all of the earnings for the periods were distributed, regardless of whether those earnings would actually be distributed during a particular period from an economic or practical perspective. This allocation does not impact the Company’s overall net income or other financial results. However, for periods in which the Company’s aggregate net income exceeds its aggregate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2" w:name="page83"/>
    <w:bookmarkEnd w:id="82"/>
    <w:p>
      <w:pPr>
        <w:spacing w:after="0" w:line="258" w:lineRule="auto"/>
        <w:rPr>
          <w:sz w:val="20"/>
          <w:szCs w:val="20"/>
          <w:color w:val="auto"/>
        </w:rPr>
      </w:pPr>
      <w:r>
        <w:rPr>
          <w:rFonts w:ascii="Times New Roman" w:cs="Times New Roman" w:eastAsia="Times New Roman" w:hAnsi="Times New Roman"/>
          <w:sz w:val="18"/>
          <w:szCs w:val="18"/>
          <w:color w:val="auto"/>
        </w:rPr>
        <w:t>distributions for such period, it will have the impact of reducing the earnings per limited partner unit, as the calculation according to this standard results in a theoretical increased allocation of undistributed earnings to the general partner. In accounting periods where aggregate net income does not exceed aggregate distributions for such period, this standard does not have any impact on the Company’s net income per limited partner unit calculation. A separate and independent calculation for each quarter and year-to-date period is performed, in which the Company’s contractual participation rights are taken into account.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Receivables, Revolving Credit Facility Borrowings, and Accounts Payable</w:t>
      </w:r>
    </w:p>
    <w:p>
      <w:pPr>
        <w:spacing w:after="0" w:line="119"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The carrying amount of cash equivalents, receivables, revolving credit facility borrowings, and accounts payable approximates fair value because of the short maturity of these instruments.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At September 30, 2020, the $57.2 million of cash, cash equivalents, and restricted cash on the consolidated statement of cash flows is comprised of</w:t>
      </w:r>
    </w:p>
    <w:p>
      <w:pPr>
        <w:ind w:right="240"/>
        <w:spacing w:after="0" w:line="253" w:lineRule="auto"/>
        <w:rPr>
          <w:sz w:val="20"/>
          <w:szCs w:val="20"/>
          <w:color w:val="auto"/>
        </w:rPr>
      </w:pPr>
      <w:r>
        <w:rPr>
          <w:rFonts w:ascii="Times New Roman" w:cs="Times New Roman" w:eastAsia="Times New Roman" w:hAnsi="Times New Roman"/>
          <w:sz w:val="18"/>
          <w:szCs w:val="18"/>
          <w:color w:val="auto"/>
        </w:rPr>
        <w:t>$56.9 million of cash and cash equivalents and $0.3 million of restricted cash. At September 30, 2019, the $5.1 million of cash, cash equivalents, and restricted cash on the consolidated statement of cash flows is comprised of $4.9 million of cash and cash equivalents and $0.3 million of restricted cash. Restricted cash represents deposits held by our captive insurance company that are required by state insurance regulations to remain in the captive insurance company as cash.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and Allowance for Doubtful Accounts</w:t>
      </w:r>
    </w:p>
    <w:p>
      <w:pPr>
        <w:spacing w:after="0" w:line="119"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Accounts receivables from customers are recorded at the invoiced amounts. Finance charges may be applied to trade receivables that are more than 30 days past due, and are recorded as finance charge income.</w:t>
      </w:r>
    </w:p>
    <w:p>
      <w:pPr>
        <w:spacing w:after="0" w:line="162"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The allowance for doubtful accounts is the Company’s estimate of the amount of trade receivables that may not be collectible. The allowance is determined at an aggregate level by grouping accounts based on certain account criteria and its receivable aging. The allowance is based on both quantitative and qualitative factors, including historical loss experience, historical collection patterns, overdue status, aging trends, and current economic conditions. The Company has an established process to periodically review current and past due trade receivable balances to determine the adequacy of the allowance. No single statistic or measurement determines the adequacy of the allowance. The total allowance reflects management’s estimate of losses inherent in its trade receivables at the balance sheet date. Different assumptions or changes in economic conditions could result in material changes to the allowance for doubtful accounts.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560" w:firstLine="589"/>
        <w:spacing w:after="0" w:line="282" w:lineRule="auto"/>
        <w:rPr>
          <w:sz w:val="20"/>
          <w:szCs w:val="20"/>
          <w:color w:val="auto"/>
        </w:rPr>
      </w:pPr>
      <w:r>
        <w:rPr>
          <w:rFonts w:ascii="Times New Roman" w:cs="Times New Roman" w:eastAsia="Times New Roman" w:hAnsi="Times New Roman"/>
          <w:sz w:val="18"/>
          <w:szCs w:val="18"/>
          <w:color w:val="auto"/>
        </w:rPr>
        <w:t>Liquid product inventories are stated at the lower of cost and net realizable value computed on the weighted average cost method. All other inventories, representing parts and equipment are stated at the lower of cost or net realizable value using the FIFO method.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computed over the estimated useful lives of the depreciable assets using the straight-line method. Land improvement useful lives are between ten and twenty years, buildings and leasehold improvements useful lives are between five and thirty years, fleet and other equipment useful lives are between one to fifteen years, tanks and equipment lives are between three to ten years, furniture, fixtures and office equipment useful lives are between five to ten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Right-of-Use Assets and Related Lease Liabilities</w:t>
      </w:r>
    </w:p>
    <w:p>
      <w:pPr>
        <w:spacing w:after="0" w:line="227" w:lineRule="exact"/>
        <w:rPr>
          <w:sz w:val="20"/>
          <w:szCs w:val="20"/>
          <w:color w:val="auto"/>
        </w:rPr>
      </w:pPr>
    </w:p>
    <w:p>
      <w:pPr>
        <w:ind w:right="120" w:firstLine="667"/>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liabilities are measured at the lease commencement date in an amount equal to the present value of the minimum lease payments over the lease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83" w:name="page84"/>
    <w:bookmarkEnd w:id="83"/>
    <w:p>
      <w:pPr>
        <w:spacing w:after="0" w:line="266" w:lineRule="auto"/>
        <w:rPr>
          <w:sz w:val="20"/>
          <w:szCs w:val="20"/>
          <w:color w:val="auto"/>
        </w:rPr>
      </w:pPr>
      <w:r>
        <w:rPr>
          <w:rFonts w:ascii="Times New Roman" w:cs="Times New Roman" w:eastAsia="Times New Roman" w:hAnsi="Times New Roman"/>
          <w:sz w:val="18"/>
          <w:szCs w:val="18"/>
          <w:color w:val="auto"/>
        </w:rPr>
        <w:t>term. Right-of-use (“ROU”) assets are recognized based on the amount of the lease liability adjusted for any lease payments made to the lessor at or before the commencement date, minus any lease incentives received, plus any initial direct costs incurred. Renewal options are included in the calculation of the ROU asset and lease liability when it is determined that they are reasonably certain of exercise.</w:t>
      </w:r>
    </w:p>
    <w:p>
      <w:pPr>
        <w:spacing w:after="0" w:line="176" w:lineRule="exact"/>
        <w:rPr>
          <w:sz w:val="20"/>
          <w:szCs w:val="20"/>
          <w:color w:val="auto"/>
        </w:rPr>
      </w:pPr>
    </w:p>
    <w:p>
      <w:pPr>
        <w:ind w:right="180" w:firstLine="667"/>
        <w:spacing w:after="0" w:line="255" w:lineRule="auto"/>
        <w:rPr>
          <w:sz w:val="20"/>
          <w:szCs w:val="20"/>
          <w:color w:val="auto"/>
        </w:rPr>
      </w:pPr>
      <w:r>
        <w:rPr>
          <w:rFonts w:ascii="Times New Roman" w:cs="Times New Roman" w:eastAsia="Times New Roman" w:hAnsi="Times New Roman"/>
          <w:sz w:val="18"/>
          <w:szCs w:val="18"/>
          <w:color w:val="auto"/>
        </w:rPr>
        <w:t>Certain of our lease arrangements contain non-lease components such as common area maintenance. We have elected to account for the lease component and its associated non-lease components as a single lease component for properties and vehicles. Leases with an initial term of 12 months or less are not recognized on our balance sheet. The Company has leases that have variable payments, including lease payments where lease payment increases are based on the percentage change in the Consumer Price Index. For such leases, payment at the lease commencement date is used to measure the ROU assets and operating lease liabilities. Changes in the index and other variable payments are expensed as incurred. The interest rate used to determine the present value of the future lease payments is our incremental borrowing rate, because the interest rate implicit in our operating leases is not readily determinable. The basis for an incremental borrowing rate is our Term Loan, market-based yield curves and comparable debt securities.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Captive Insurance Collateral</w:t>
      </w:r>
    </w:p>
    <w:p>
      <w:pPr>
        <w:spacing w:after="0" w:line="119"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The captive insurance collateral is held by our captive insurance company in an irrevocable trust as collateral for certain workers’ compensation and automobile liability claims incurred and expected to be incurred from fiscal 2004 to fiscal 2020. The collateral is required by a third party insurance carrier that insures per claim amounts above a set deductible. Due to the expected timing of claim payments, the nature of the collateral agreement with the carrier, and our captive insurance company’s source of other operating cash, the collateral is not expected to be used to pay obligations within the next twelve months.</w:t>
      </w:r>
    </w:p>
    <w:p>
      <w:pPr>
        <w:spacing w:after="0" w:line="75"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At September 30, 2020, captive insurance collateral is comprised of $68.6 million of Level 1 debt securities measured at fair value and $1.2 million of mutual funds measured at net asset value. At September 30, 2019, the balance was comprised of $58.0 million of Level 1 debt securities measured at fair value and $0.5 million of mutual funds measured at net asset value. Unrealized gains and losses, net of related income taxes, are reported as accumulated other comprehensive income (loss), except for losses from impairments which are determined to be other-than-temporary. Realized gains and losses, and declines in value judged to be other-than-temporary on available-for-sale securities are included in the determination of net income and are included in Interest expense, net, at which time the average cost basis of these securities are adjusted to fair value.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Goodwill and intangible assets include goodwill, customer lists, trade names and covenants not to compete.</w:t>
      </w:r>
    </w:p>
    <w:p>
      <w:pPr>
        <w:spacing w:after="0" w:line="225"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Goodwill is the excess of cost over the fair value of net assets in the acquisition of a company. Goodwill and intangible assets with indefinite useful lives are not amortized, but instead are annually tested for impairment. The Company has one reporting unit and performs a qualitative, and when necessary quantitative, impairment test on its goodwill annually on August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or more frequently if events or circumstances indicate that the value of goodwill might be impaired. We performed qualitative assessments (commonly referred to as Step 0) to evaluate whether it is more-likely-than-not (a likelihood that is more than 50%) that goodwill has been impaired, as a basis to determine whether it is necessary to perform the two-step quantitative impairment test. This qualitative assessment includes a review of factors such as our reporting unit’s market value compared to its carrying value, our short-term and long-term unit price performance, our planned overall business strategy compared to recent financial results, as well as macroeconomic conditions, industry and market considerations, cost factors, and other relevant Company-specific events. Goodwill impairment if any, needs to be determined if the net book value of a reporting unit exceeds its estimated fair value. If goodwill is determined to be impaired, the amount of impairment is measured based on the excess of the net book value of the goodwill over the implied fair value of the goodwill. The Company performed its annual goodwill impairment valuation in each of the periods ending August 31, 2020, 2019, and 2018, and it was determined based on each year’s analysis that there was no goodwill impairment.</w:t>
      </w:r>
    </w:p>
    <w:p>
      <w:pPr>
        <w:spacing w:after="0" w:line="190"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Intangible assets with finite useful lives are amortized over their respective estimated useful lives to their estimated residual values, and reviewed for impairment whenever changes in circumstances indicate that the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4" w:name="page85"/>
    <w:bookmarkEnd w:id="84"/>
    <w:p>
      <w:pPr>
        <w:ind w:right="140"/>
        <w:spacing w:after="0" w:line="282" w:lineRule="auto"/>
        <w:rPr>
          <w:sz w:val="20"/>
          <w:szCs w:val="20"/>
          <w:color w:val="auto"/>
        </w:rPr>
      </w:pPr>
      <w:r>
        <w:rPr>
          <w:rFonts w:ascii="Times New Roman" w:cs="Times New Roman" w:eastAsia="Times New Roman" w:hAnsi="Times New Roman"/>
          <w:sz w:val="18"/>
          <w:szCs w:val="18"/>
          <w:color w:val="auto"/>
        </w:rPr>
        <w:t>may be impaired. The assessment for impairment requires estimates of future cash flows related to the intangible asset. To the extent the carrying value of the assets exceeds its future undiscounted cash flows, an impairment loss is recorded based on the fair value of the asset.</w:t>
      </w:r>
    </w:p>
    <w:p>
      <w:pPr>
        <w:spacing w:after="0" w:line="162" w:lineRule="exact"/>
        <w:rPr>
          <w:sz w:val="20"/>
          <w:szCs w:val="20"/>
          <w:color w:val="auto"/>
        </w:rPr>
      </w:pPr>
    </w:p>
    <w:p>
      <w:pPr>
        <w:ind w:firstLine="589"/>
        <w:spacing w:after="0" w:line="260" w:lineRule="auto"/>
        <w:rPr>
          <w:sz w:val="20"/>
          <w:szCs w:val="20"/>
          <w:color w:val="auto"/>
        </w:rPr>
      </w:pPr>
      <w:r>
        <w:rPr>
          <w:rFonts w:ascii="Times New Roman" w:cs="Times New Roman" w:eastAsia="Times New Roman" w:hAnsi="Times New Roman"/>
          <w:sz w:val="18"/>
          <w:szCs w:val="18"/>
          <w:color w:val="auto"/>
        </w:rPr>
        <w:t>We use amortization methods and determine asset values based on our best estimates using reasonable and supportable assumptions and projections. Key assumptions used to determine the value of these intangibles include projections of future customer attrition or growth rates, product margin increases, operating expenses, our cost of capital, and corporate income tax rates. For significant acquisitions we may engage a third party valuation firm to assist in the valuation of intangible assets of that acquisition. We assess the useful lives of intangible assets based on the estimated period over which we will receive benefit from such intangible assets such as historical evidence regarding customer churn rate. In some cases, the estimated useful lives are based on contractual terms. Customer lists are the names and addresses of an acquired company’s customers. Based on historical retention experience, these lists are amortized on a straight-line basis over seven to ten years.</w:t>
      </w:r>
    </w:p>
    <w:p>
      <w:pPr>
        <w:spacing w:after="0" w:line="185"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Trade names are the names of acquired companies. Based on the economic benefit expected and historical retention experience of customers, trade names are amortized on a straight-line basis over three to twenty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ind w:right="240" w:firstLine="589"/>
        <w:spacing w:after="0" w:line="255" w:lineRule="auto"/>
        <w:rPr>
          <w:sz w:val="20"/>
          <w:szCs w:val="20"/>
          <w:color w:val="auto"/>
        </w:rPr>
      </w:pPr>
      <w:r>
        <w:rPr>
          <w:rFonts w:ascii="Times New Roman" w:cs="Times New Roman" w:eastAsia="Times New Roman" w:hAnsi="Times New Roman"/>
          <w:sz w:val="18"/>
          <w:szCs w:val="18"/>
          <w:color w:val="auto"/>
        </w:rPr>
        <w:t>We use the acquisition method of accounting. The acquisition method of accounting requires us to use significant estimates and assumptions, including fair value estimates, as of the business combination date, and to refine those estimates as necessary during the measurement period (defined as the period, not to exceed one year, in which the amounts recognized for a business combination may be adjusted).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The separately identifiable intangible assets generally are comprised of customer lists, trade names and covenants not to compete. Goodwill is recognized for the excess of the purchase price over the net fair value of assets acquired and liabilities assumed.</w:t>
      </w:r>
    </w:p>
    <w:p>
      <w:pPr>
        <w:spacing w:after="0" w:line="189"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Costs that are incurred to complete the business combination such as legal and other professional fees are not considered part of consideration transferred and are charged to general and administrative expense as they are incurred. For any given acquisition, certain contingent consideration may be identified. Estimates of the fair value of liability or asset classified contingent consideration are included under the acquisition method as part of the assets acquired or liabilities assumed. At each reporting date, these estimates are remeasured to fair value, with changes recognized in earnings.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119"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Assets held for sale represent certain propane assets that the Company sold on October 27, 2020. The carrying amount of assets held for sale included $4.4 million of goodwill, $0.8 million of intangible assets, $5.3 million of property and equipment, net, and $1.3 million of operating lease right-of-use assets. We measure and record assets held for sale at the lower of their carrying amount or fair value less cost to sell and recorded a $5.7 million loss for the year ended September 30, 2020. Liabilities held for sale consist of $1.3 million of operating lease obligations.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160" w:firstLine="589"/>
        <w:spacing w:after="0" w:line="261" w:lineRule="auto"/>
        <w:rPr>
          <w:sz w:val="20"/>
          <w:szCs w:val="20"/>
          <w:color w:val="auto"/>
        </w:rPr>
      </w:pPr>
      <w:r>
        <w:rPr>
          <w:rFonts w:ascii="Times New Roman" w:cs="Times New Roman" w:eastAsia="Times New Roman" w:hAnsi="Times New Roman"/>
          <w:sz w:val="18"/>
          <w:szCs w:val="18"/>
          <w:color w:val="auto"/>
        </w:rPr>
        <w:t>The Company reviews intangible assets and other long-lived assets for impairment whenever events or changes in circumstances indicate that the carrying amount of such assets may not be recoverable. The Company determines whether the carrying values of such assets are recoverable over their remaining estimated lives through undiscounted future cash flow analysis. If such a review should indicate that the carrying amount of the assets is not recoverable, the Company will reduce the carrying amount of such assets to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Charge Income</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Finance charge income represents late customer payment charges and financing income from extended payment plans associated with installations.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19"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Other loss of $5.7 million for the year ended September 30, 2020 represents an expected loss on a sale of certain propane assets that were held for sale at September 30, 2020 at the lower of their carrying amount or fair value less cost to sell. Other income, net of $7.0 million for the year ended September 30, 2018 represents a gain on the sale of the Company’s security customer account base, which occurred in fiscal 2018. The gain is comprised of $6.8 million of cash proceeds and $0.4 million from the recognition of unamortized deferred service liabilities, partially offset by $0.2 million of other expenses.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Charges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Deferred charges represent the costs associated with the issuance of the term loan and revolving credit facility and are amortized over the life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46"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they are incurred. Advertising expenses were $13.5 million, $14.3 million, and $15.1 million, in 2020, 2019, and 2018, respectively and are recorded in delivery and branch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Credit Balances</w:t>
      </w:r>
    </w:p>
    <w:p>
      <w:pPr>
        <w:spacing w:after="0" w:line="119"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Customer credit balances represent payments received in advance from customers pursuant to a balanced payment plan (whereby customers pay on a fixed monthly basis) and the payments made have exceeded the charges for liquid product and other services.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Costs</w:t>
      </w:r>
    </w:p>
    <w:p>
      <w:pPr>
        <w:spacing w:after="0" w:line="119"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Costs associated with managing hazardous substances and pollution are expensed on a current basis. Accruals are made for costs associated with the remediation of environmental pollution when it becomes probable that a liability has been incurred and the amount can be reasonably estimated. Liabilities are recorded in accrued expenses and other current liabilities.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119"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The Company uses a combination of insurance, self-insured retention and self-insurance for a number of risks, including workers’ compensation, general liability, vehicle liability, medical liability and property. Reserves are established and periodically evaluated, based upon expectations as to what our ultimate liability may be for outstanding claims using developmental factors based upon historical claim experience, including frequency, severity, demographic factors and other actuarial assumptions, supplemented with support from qualified actuaries. Liabilities are recorded in accrued expenses and other current liabilities.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At a special meeting held October 25, 2017, unitholders voted in favor of proposals to have the Company be treated as a corporation effective November 1, 2017, instead of a partnership, for federal income tax purposes (commonly referred to as a “check-the-box” election) along with amendments to our Partnership Agreement to effect such changes in income tax classification. For corporate subsidiaries of the Company, a consolidated Federal income tax return is filed.</w:t>
      </w:r>
    </w:p>
    <w:p>
      <w:pPr>
        <w:spacing w:after="0" w:line="72" w:lineRule="exact"/>
        <w:rPr>
          <w:sz w:val="20"/>
          <w:szCs w:val="20"/>
          <w:color w:val="auto"/>
        </w:rPr>
      </w:pPr>
    </w:p>
    <w:p>
      <w:pPr>
        <w:ind w:right="220" w:firstLine="58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reported on a fiscal year, however, the Company and its Corporate subsidiaries file Federal and State income tax returns on a calendar year.</w:t>
      </w:r>
    </w:p>
    <w:p>
      <w:pPr>
        <w:spacing w:after="0" w:line="54"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 of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A valuation allowance is recognized if, based on the weight of available evidence including historical tax losses, it is more likely than not that some or all of deferred tax assets will not be realized.</w:t>
      </w:r>
    </w:p>
    <w:p>
      <w:pPr>
        <w:spacing w:after="0" w:line="7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continuing practice is to recognize interest and penalties related to income tax matters as a component of income tax expense.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Use and Value Added Taxes</w:t>
      </w:r>
    </w:p>
    <w:p>
      <w:pPr>
        <w:spacing w:after="0" w:line="119" w:lineRule="exact"/>
        <w:rPr>
          <w:sz w:val="20"/>
          <w:szCs w:val="20"/>
          <w:color w:val="auto"/>
        </w:rPr>
      </w:pPr>
    </w:p>
    <w:p>
      <w:pPr>
        <w:ind w:right="560" w:firstLine="589"/>
        <w:spacing w:after="0" w:line="282" w:lineRule="auto"/>
        <w:rPr>
          <w:sz w:val="20"/>
          <w:szCs w:val="20"/>
          <w:color w:val="auto"/>
        </w:rPr>
      </w:pPr>
      <w:r>
        <w:rPr>
          <w:rFonts w:ascii="Times New Roman" w:cs="Times New Roman" w:eastAsia="Times New Roman" w:hAnsi="Times New Roman"/>
          <w:sz w:val="18"/>
          <w:szCs w:val="18"/>
          <w:color w:val="auto"/>
        </w:rPr>
        <w:t>Taxes are assessed by various governmental authorities on many different types of transactions. Sales reported for product, installations and services exclude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119"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Derivative instruments are recorded at fair value and included in the consolidated balance sheet as assets or liabilities. The Company has elected not to designate its commodity derivative instruments as hedging instruments but rather as economic hedges whose changes in fair value of the derivative instruments are recognized in our statement of operations in the caption (Increase) decrease in the fair value of derivative instruments. Depending on the risk being economically hedged, realized gains and losses are recorded in cost of product, cost of installations and services, or delivery and branch expenses.</w:t>
      </w:r>
    </w:p>
    <w:p>
      <w:pPr>
        <w:spacing w:after="0" w:line="75" w:lineRule="exact"/>
        <w:rPr>
          <w:sz w:val="20"/>
          <w:szCs w:val="20"/>
          <w:color w:val="auto"/>
        </w:rPr>
      </w:pPr>
    </w:p>
    <w:p>
      <w:pPr>
        <w:jc w:val="both"/>
        <w:ind w:right="240" w:firstLine="589"/>
        <w:spacing w:after="0" w:line="266" w:lineRule="auto"/>
        <w:rPr>
          <w:sz w:val="20"/>
          <w:szCs w:val="20"/>
          <w:color w:val="auto"/>
        </w:rPr>
      </w:pPr>
      <w:r>
        <w:rPr>
          <w:rFonts w:ascii="Times New Roman" w:cs="Times New Roman" w:eastAsia="Times New Roman" w:hAnsi="Times New Roman"/>
          <w:sz w:val="18"/>
          <w:szCs w:val="18"/>
          <w:color w:val="auto"/>
        </w:rPr>
        <w:t>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(loss) until the underlying hedged item is recognized in earnings.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Valuation Approach</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uses valuation approaches that maximize the use of observable inputs and minimize the use of unobservable inputs to the extent possible. The Company determines fair value based on assumptions that market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87" w:name="page88"/>
    <w:bookmarkEnd w:id="87"/>
    <w:p>
      <w:pPr>
        <w:ind w:right="100"/>
        <w:spacing w:after="0" w:line="266" w:lineRule="auto"/>
        <w:rPr>
          <w:sz w:val="20"/>
          <w:szCs w:val="20"/>
          <w:color w:val="auto"/>
        </w:rPr>
      </w:pPr>
      <w:r>
        <w:rPr>
          <w:rFonts w:ascii="Times New Roman" w:cs="Times New Roman" w:eastAsia="Times New Roman" w:hAnsi="Times New Roman"/>
          <w:sz w:val="18"/>
          <w:szCs w:val="18"/>
          <w:color w:val="auto"/>
        </w:rPr>
        <w:t>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(see Note 7 to the consolidated financial statements):</w:t>
      </w:r>
    </w:p>
    <w:p>
      <w:pPr>
        <w:spacing w:after="0" w:line="176" w:lineRule="exact"/>
        <w:rPr>
          <w:sz w:val="20"/>
          <w:szCs w:val="20"/>
          <w:color w:val="auto"/>
        </w:rPr>
      </w:pPr>
    </w:p>
    <w:p>
      <w:pPr>
        <w:ind w:left="960" w:right="940" w:hanging="750"/>
        <w:spacing w:after="0" w:line="273"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 w:lineRule="exact"/>
        <w:rPr>
          <w:rFonts w:ascii="Times New Roman" w:cs="Times New Roman" w:eastAsia="Times New Roman" w:hAnsi="Times New Roman"/>
          <w:sz w:val="18"/>
          <w:szCs w:val="18"/>
          <w:color w:val="auto"/>
        </w:rPr>
      </w:pPr>
    </w:p>
    <w:p>
      <w:pPr>
        <w:ind w:left="960" w:right="40" w:hanging="750"/>
        <w:spacing w:after="0" w:line="273"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960" w:right="200" w:hanging="75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Hedge Contract</w:t>
      </w:r>
    </w:p>
    <w:p>
      <w:pPr>
        <w:spacing w:after="0" w:line="119"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To partially mitigate the effect of weather on cash flows, the Company has used weather hedge contracts for a number of years. Weather hedge contracts are recorded in accordance with the intrinsic value method defined by the Financial Accounting Standards Board (“FASB”) Accounting Standards Codification (“ASC”) 815-45-15 Derivatives and Hedging, Weather Derivatives (EITF 99-2). The premium paid is included in the caption prepaid expenses and other current assets in the accompanying balance sheets and amortized over the life of the contract, with the intrinsic value method applied at each interim period.</w:t>
      </w:r>
    </w:p>
    <w:p>
      <w:pPr>
        <w:spacing w:after="0" w:line="75" w:lineRule="exact"/>
        <w:rPr>
          <w:sz w:val="20"/>
          <w:szCs w:val="20"/>
          <w:color w:val="auto"/>
        </w:rPr>
      </w:pPr>
    </w:p>
    <w:p>
      <w:pPr>
        <w:ind w:right="60" w:firstLine="589"/>
        <w:spacing w:after="0" w:line="254" w:lineRule="auto"/>
        <w:rPr>
          <w:sz w:val="20"/>
          <w:szCs w:val="20"/>
          <w:color w:val="auto"/>
        </w:rPr>
      </w:pPr>
      <w:r>
        <w:rPr>
          <w:rFonts w:ascii="Times New Roman" w:cs="Times New Roman" w:eastAsia="Times New Roman" w:hAnsi="Times New Roman"/>
          <w:sz w:val="18"/>
          <w:szCs w:val="18"/>
          <w:color w:val="auto"/>
        </w:rPr>
        <w:t>The Company has weather hedge contracts for fiscal years 2021 and 2022. Under these contracts, we are entitled to receive a payment if the total number of degree days within the hedge period is less than the prior ten year average. The “Payment Thresholds,” or strikes, are set at various levels. In addition, for fiscal 2021 we will be obligated to make a payment capped at $5.0 million if degree days exceed the prior ten year average. The hedge period runs from November 1 through March 31, taken as a whole, for each respective fiscal year. In fiscal year 2020 the Company reduced delivery and branch expense under these contracts by $10.1 million and received the amount in full in April 2020. In fiscal year 2019 the Company increased delivery and branch expense under these contracts by $2.1 million, and paid the amount in full in April 2019. For fiscal 2020 and 2021 the maximum that the Company can receive annually is $12.5 million and the maximum that the Company would be obligated to pay annually is $5.0 million. For fiscal 2022 the maximum that the Company can receive annually is $7.5 million and we do not have a potential obligation to pay.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100" w:firstLine="667"/>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(“ASC Topic 842”). The update requires all leases with a term greater than twelve months to be recognized on the balance sheet by recording (1) a lease liability that represents a lessee’s obligation to make lease payments arising from a lease, measured at the present value of the remaining lease payments; and (2) a right-of-use (“ROU”) asset that represents the lessee’s right to use a specified asset for the lease term, measured in an amount equal to the lease liability adjusted for accrued lease payments. The standard also requires the disclosure of key information pertaining to leasing arrangements.</w:t>
      </w:r>
    </w:p>
    <w:p>
      <w:pPr>
        <w:spacing w:after="0" w:line="75" w:lineRule="exact"/>
        <w:rPr>
          <w:sz w:val="20"/>
          <w:szCs w:val="20"/>
          <w:color w:val="auto"/>
        </w:rPr>
      </w:pPr>
    </w:p>
    <w:p>
      <w:pPr>
        <w:ind w:right="20" w:firstLine="667"/>
        <w:spacing w:after="0" w:line="254" w:lineRule="auto"/>
        <w:rPr>
          <w:sz w:val="20"/>
          <w:szCs w:val="20"/>
          <w:color w:val="auto"/>
        </w:rPr>
      </w:pPr>
      <w:r>
        <w:rPr>
          <w:rFonts w:ascii="Times New Roman" w:cs="Times New Roman" w:eastAsia="Times New Roman" w:hAnsi="Times New Roman"/>
          <w:sz w:val="18"/>
          <w:szCs w:val="18"/>
          <w:color w:val="auto"/>
        </w:rPr>
        <w:t>As of October 1, 2019, the Company adopted ASC Topic 842 using the modified retrospective transition approach as of the effective date as permitted by the amendments in ASU 2018-11. As a result, the Company was not required to adjust its comparative period financial information for effects of the standard or make the new required lease disclosures for periods before the date of adoption (i.e. October 1, 2019). The Company has elected to adopt the package of transition practical expedients and, therefore, has not reassessed (1) whether existing or expired contracts contain a lease, (2) lease classification for existing or expired leases or (3) the accounting for initial direct costs that were previously capitalized. We also elected a practical expedient to not separate non-lease components from the lease components for properties and vehicles and excluded short term leases from the calculation of right of use asset and operating lease liability. For certain leases relating to vehicles and equipment we elected to apply portfolio approach guidance and accounted for leases with similar characteristics as a single lease. The Company did not elect the practical expedient to use hindsight for leases existing at the adoption date.</w:t>
      </w:r>
    </w:p>
    <w:p>
      <w:pPr>
        <w:spacing w:after="0" w:line="80" w:lineRule="exact"/>
        <w:rPr>
          <w:sz w:val="20"/>
          <w:szCs w:val="20"/>
          <w:color w:val="auto"/>
        </w:rPr>
      </w:pPr>
    </w:p>
    <w:p>
      <w:pPr>
        <w:ind w:right="620" w:firstLine="667"/>
        <w:spacing w:after="0" w:line="282" w:lineRule="auto"/>
        <w:rPr>
          <w:sz w:val="20"/>
          <w:szCs w:val="20"/>
          <w:color w:val="auto"/>
        </w:rPr>
      </w:pPr>
      <w:r>
        <w:rPr>
          <w:rFonts w:ascii="Times New Roman" w:cs="Times New Roman" w:eastAsia="Times New Roman" w:hAnsi="Times New Roman"/>
          <w:sz w:val="18"/>
          <w:szCs w:val="18"/>
          <w:color w:val="auto"/>
        </w:rPr>
        <w:t>The adoption of ASC Topic 842 had a material impact to the Company’s Consolidated Balance Sheet, but did not impact the Consolidated Statement of Operations or Consolidated Statement of Partners’ Capital. The most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right="240"/>
        <w:spacing w:after="0" w:line="255" w:lineRule="auto"/>
        <w:rPr>
          <w:sz w:val="20"/>
          <w:szCs w:val="20"/>
          <w:color w:val="auto"/>
        </w:rPr>
      </w:pPr>
      <w:r>
        <w:rPr>
          <w:rFonts w:ascii="Times New Roman" w:cs="Times New Roman" w:eastAsia="Times New Roman" w:hAnsi="Times New Roman"/>
          <w:sz w:val="18"/>
          <w:szCs w:val="18"/>
          <w:color w:val="auto"/>
        </w:rPr>
        <w:t>significant changes to the Consolidated Balance Sheet relate to the recognition of the following as of October 1, 2019: “Operating lease right-of-use assets” in the amount of $104.7 million, “Current portion of operating lease liabilities” in the amount of $20.1 million and “Long-term operating lease liabilities” in the amount of $89.9 million. The adoption of ASC Topic 842 also had no impact on operating, investing, or financing cash flows in the Consolidated Statement of Cash Flows. However, ASC Topic has significantly affected the Company’s disclosures about noncash investing activities. Additionally, the Company’s lease-related disclosures have significantly increased as of and for the year ended September 30, 2020 as compared to prior years. See Note 2 – Summary of Significant Accounting Policies – Operating Lease Right-of-Use Assets and Related Lease Liabilities and Note 16 – Leases for further details on the adoption of ASC Topic 842.</w:t>
      </w:r>
    </w:p>
    <w:p>
      <w:pPr>
        <w:spacing w:after="0" w:line="81" w:lineRule="exact"/>
        <w:rPr>
          <w:sz w:val="20"/>
          <w:szCs w:val="20"/>
          <w:color w:val="auto"/>
        </w:rPr>
      </w:pPr>
    </w:p>
    <w:p>
      <w:pPr>
        <w:ind w:firstLine="667"/>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The Company adopted the ASU effective March 12, 2020. The update provides optional guidance for a limited period of time to ease potential accounting impacts associated with transitioning away from reference rates that are expected to be discontinued, such as interbank offered rates and LIBOR. The Company has $64.0 million of interest rate swap agreements at September 30, 2020 that are benchmarked against LIBOR, which the Company has designated as cash flow hedging derivatives. This guidance includes practical expedients for contract modifications due to reference rate reform. The Company has elected to adopt the practical expedient that the Company may change the contractual terms of the interest rate swap agreements that are expected to be affected by reference rate reform and not be required to de-designate the hedging relationships. The adoption did not have an impact on the Company’s consolidated financial statements and related disclosures.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20" w:firstLine="667"/>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The update broadens the information that an entity should consider in developing expected credit loss estimates, eliminates the probable initial recognition threshold, and allows for the immediate recognition of the full amount of expected credit losses. This new guidance is effective for our annual reporting period beginning in the first quarter of fiscal 2021. The Company does not expect the adoption of ASU No. 2016-13 to have a material impact on its consolidated financial statements and related disclosures.</w:t>
      </w:r>
    </w:p>
    <w:p>
      <w:pPr>
        <w:spacing w:after="0" w:line="72" w:lineRule="exact"/>
        <w:rPr>
          <w:sz w:val="20"/>
          <w:szCs w:val="20"/>
          <w:color w:val="auto"/>
        </w:rPr>
      </w:pPr>
    </w:p>
    <w:p>
      <w:pPr>
        <w:ind w:right="280" w:firstLine="667"/>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No. 2017-04, Intangibles – Goodwill and Other (Topic 230): Simplifying the Test for Goodwill Impairment. The update simplifies how an entity is required to test goodwill for impairment. An entity should recognize an impairment charge for the amount by which the carrying amount exceeds the reporting unit’s fair value, but not exceed the total amount of goodwill allocated to the reporting unit. This new guidance is effective for our annual reporting period beginning in the first quarter of fiscal 2021. The Company does not expect ASU 2017-04 will have a material impact on its consolidated financial statements and related disclosures.</w:t>
      </w:r>
    </w:p>
    <w:p>
      <w:pPr>
        <w:spacing w:after="0" w:line="75" w:lineRule="exact"/>
        <w:rPr>
          <w:sz w:val="20"/>
          <w:szCs w:val="20"/>
          <w:color w:val="auto"/>
        </w:rPr>
      </w:pPr>
    </w:p>
    <w:p>
      <w:pPr>
        <w:ind w:right="380" w:firstLine="667"/>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 - General: Changes to the Disclosure Requirements for Defined Benefit Plans, which modifies the disclosure requirements for employers that sponsor defined benefit pension or other postretirement plans by removing and adding certain disclosures for these plans. The new guidance is effective for our annual reporting period beginning in the first quarter of fiscal 2021. The Company does not expect ASU No. 2018-14 will have a material impact on its consolidated financial statements and related disclosures.</w:t>
      </w:r>
    </w:p>
    <w:p>
      <w:pPr>
        <w:spacing w:after="0" w:line="75" w:lineRule="exact"/>
        <w:rPr>
          <w:sz w:val="20"/>
          <w:szCs w:val="20"/>
          <w:color w:val="auto"/>
        </w:rPr>
      </w:pPr>
    </w:p>
    <w:p>
      <w:pPr>
        <w:ind w:right="280" w:firstLine="667"/>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Customer's Accounting for Implementation Costs Incurred in a Cloud Computing Arrangement that is a Service Contract, which will align the requirements for capitalizing implementation costs incurred in a hosting arrangement that is a service contract with the requirements for capitalizing implementation costs incurred to develop or obtain internal-use software. The new guidance is effective for our annual reporting period beginning in the first quarter of fiscal 2021. The Company does not expect ASU No. 2018-15 will have a material impact on its consolidated financial statements and related disclosures.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disaggregates our revenue by major sources for the years ended September 30, 2020, 2019 and 2018:</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4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Petroleum Products:</w:t>
            </w:r>
          </w:p>
        </w:tc>
        <w:tc>
          <w:tcPr>
            <w:tcW w:w="8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11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924,421</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1,099,874</w:t>
            </w:r>
          </w:p>
        </w:tc>
        <w:tc>
          <w:tcPr>
            <w:tcW w:w="180" w:type="dxa"/>
            <w:vAlign w:val="bottom"/>
          </w:tcPr>
          <w:p>
            <w:pPr>
              <w:spacing w:after="0"/>
              <w:rPr>
                <w:sz w:val="19"/>
                <w:szCs w:val="19"/>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Motor fuel and other petroleum products</w:t>
            </w:r>
          </w:p>
        </w:tc>
        <w:tc>
          <w:tcPr>
            <w:tcW w:w="8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261,605</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petroleum products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1,186,026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Installations and Services: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Equipment installations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Equipment maintenance service contracts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Billable call services</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59,345</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8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281,432</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Sales</w:t>
            </w:r>
          </w:p>
        </w:tc>
        <w:tc>
          <w:tcPr>
            <w:tcW w:w="8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1,467,458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1,753,872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Petroleum product revenues consist of home heating oil and propane as well as diesel fuel and gasoline. Revenues from petroleum products are recognized at the time of delivery to the customer when control is passed from the Company to the customer. Revenue is measured as the amount of consideration we expect to receive in exchange for transferring control of the petroleum products. Approximately 95% of our full service residential and commercial home heating oil customers automatically receive deliveries based on prevailing weather conditions. We offer several pricing alternatives to our residential home heating oil customers, including a variable price (market based) option and a price-protected option, the latter of which either sets the maximum price or a fixed price that a customer will pay.</w:t>
      </w:r>
    </w:p>
    <w:p>
      <w:pPr>
        <w:spacing w:after="0" w:line="187"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Equipment maintenance service contracts primarily cover heating, air conditioning, and natural gas equipment. We generally do not sell equipment maintenance service contracts to heating oil customers that do not take delivery of product from us. The service contract period of our equipment maintenance service contracts is generally one year or less. Revenues from equipment maintenance service contracts are recognized into income over the terms of the respective service contracts, on a straight-line basis. Our obligation to perform service is consistent through the duration of the contracts, and the straight-line basis of recognition is a faithful depiction of the transfer of our services. To the extent that the Company anticipates that future costs for fulfilling its contractual obligations under its equipment service contracts will exceed the amount of deferred revenue currently attributable to these contracts, the Company recognizes a loss in current period earnings equal to the amount that anticipated future costs exceed related deferred revenues.</w:t>
      </w:r>
    </w:p>
    <w:p>
      <w:pPr>
        <w:spacing w:after="0" w:line="189" w:lineRule="exact"/>
        <w:rPr>
          <w:sz w:val="20"/>
          <w:szCs w:val="20"/>
          <w:color w:val="auto"/>
        </w:rPr>
      </w:pPr>
    </w:p>
    <w:p>
      <w:pPr>
        <w:ind w:right="700" w:firstLine="589"/>
        <w:spacing w:after="0" w:line="282" w:lineRule="auto"/>
        <w:rPr>
          <w:sz w:val="20"/>
          <w:szCs w:val="20"/>
          <w:color w:val="auto"/>
        </w:rPr>
      </w:pPr>
      <w:r>
        <w:rPr>
          <w:rFonts w:ascii="Times New Roman" w:cs="Times New Roman" w:eastAsia="Times New Roman" w:hAnsi="Times New Roman"/>
          <w:sz w:val="18"/>
          <w:szCs w:val="18"/>
          <w:color w:val="auto"/>
        </w:rPr>
        <w:t>Revenue from billable call services (repairs, maintenance and other services including plumbing) and equipment installations (heating, air conditioning, and natural gas equipment) are recognized at the time that the work is performed.</w:t>
      </w:r>
    </w:p>
    <w:p>
      <w:pPr>
        <w:spacing w:after="0" w:line="162" w:lineRule="exact"/>
        <w:rPr>
          <w:sz w:val="20"/>
          <w:szCs w:val="20"/>
          <w:color w:val="auto"/>
        </w:rPr>
      </w:pPr>
    </w:p>
    <w:p>
      <w:pPr>
        <w:ind w:right="640" w:firstLine="589"/>
        <w:spacing w:after="0" w:line="282" w:lineRule="auto"/>
        <w:rPr>
          <w:sz w:val="20"/>
          <w:szCs w:val="20"/>
          <w:color w:val="auto"/>
        </w:rPr>
      </w:pPr>
      <w:r>
        <w:rPr>
          <w:rFonts w:ascii="Times New Roman" w:cs="Times New Roman" w:eastAsia="Times New Roman" w:hAnsi="Times New Roman"/>
          <w:sz w:val="18"/>
          <w:szCs w:val="18"/>
          <w:color w:val="auto"/>
        </w:rPr>
        <w:t>Our standard payment terms are generally 30 days. Sales reported for product, installations and services exclude taxes assessed by various governmental authorities.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right="320" w:firstLine="589"/>
        <w:spacing w:after="0" w:line="258" w:lineRule="auto"/>
        <w:rPr>
          <w:sz w:val="20"/>
          <w:szCs w:val="20"/>
          <w:color w:val="auto"/>
        </w:rPr>
      </w:pPr>
      <w:r>
        <w:rPr>
          <w:rFonts w:ascii="Times New Roman" w:cs="Times New Roman" w:eastAsia="Times New Roman" w:hAnsi="Times New Roman"/>
          <w:sz w:val="18"/>
          <w:szCs w:val="18"/>
          <w:color w:val="auto"/>
        </w:rPr>
        <w:t>We have elected to recognize incremental costs of obtaining a contract, other than new residential product and equipment maintenance service contracts, as an expense when incurred when the amortization period of the asset that we otherwise would have recognized is one year or less. We recognize an asset for incremental commission expenses paid to sales personnel in conjunction with obtaining new residential customer product and equipment maintenance service contracts. We defer these costs only when we have determined the commissions are, in fact, incremental and would not have been incurred absent the customer contract. Costs to obtain a contract are amortized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0" w:name="page91"/>
    <w:bookmarkEnd w:id="90"/>
    <w:p>
      <w:pPr>
        <w:ind w:right="20"/>
        <w:spacing w:after="0" w:line="253" w:lineRule="auto"/>
        <w:rPr>
          <w:sz w:val="20"/>
          <w:szCs w:val="20"/>
          <w:color w:val="auto"/>
        </w:rPr>
      </w:pPr>
      <w:r>
        <w:rPr>
          <w:rFonts w:ascii="Times New Roman" w:cs="Times New Roman" w:eastAsia="Times New Roman" w:hAnsi="Times New Roman"/>
          <w:sz w:val="18"/>
          <w:szCs w:val="18"/>
          <w:color w:val="auto"/>
        </w:rPr>
        <w:t>and recorded ratably as delivery and branch expenses over the period representing the transfer of goods or services to which the assets relate. Costs to obtain new residential product and equipment maintenance service contracts are amortized as expense over the estimated customer relationship period of approximately five years. Deferred contract costs are classified as current or non-current within “Prepaid expenses and other current assets” and “Deferred charges and other assets, net,” respectively. At September 30, 2020 the amount of deferred contract costs included in “Prepaid expenses and other current assets” and “Deferred charges and other assets, net” was $3.4 million and $5.9 million, respectively. At September 30, 2019 the amount of deferred contract costs included in “Prepaid expenses and other current assets” and “Deferred charges and other assets, net” was $3.4 million and $5.9 million, respectively. For the years ended September 30, 2020 and September 30, 2019 we recognized expense of $4.0 million and $4.0 million, respectively, associated with the amortization of deferred contract costs within delivery and branch expenses in the Consolidated Statement of Operations. We recognize an impairment charge to the extent the carrying amount of a deferred cost exceeds the remaining amount of consideration we expect to receive in exchange for the petroleum products and services related to the cost, less the expected costs related directly to providing those petroleum products and services that have not yet been recognized as expenses. There have been no impairment charges recognized for the twelve months ended September 30, 2020.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 – Allocation of Transaction Price to Separate Performance Obligations</w:t>
      </w:r>
    </w:p>
    <w:p>
      <w:pPr>
        <w:spacing w:after="0" w:line="227"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Our contracts with customers often include distinct performance obligations to transfer products and perform equipment maintenance services to a customer that are accounted for separately. Judgment is required to determine the stand-alone selling price for each distinct performance obligation for the purpose of allocating the transaction price to separate performance obligations. We determine the stand-alone selling price using information that may include market conditions and other observable inputs and typically have more than one stand-alone selling price for petroleum products and equipment maintenance services due to the stratification of those products and services by geography and customer characteristics.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Liability Balances</w:t>
      </w:r>
    </w:p>
    <w:p>
      <w:pPr>
        <w:spacing w:after="0" w:line="227" w:lineRule="exact"/>
        <w:rPr>
          <w:sz w:val="20"/>
          <w:szCs w:val="20"/>
          <w:color w:val="auto"/>
        </w:rPr>
      </w:pPr>
    </w:p>
    <w:p>
      <w:pPr>
        <w:ind w:right="40" w:firstLine="589"/>
        <w:spacing w:after="0" w:line="253" w:lineRule="auto"/>
        <w:rPr>
          <w:sz w:val="20"/>
          <w:szCs w:val="20"/>
          <w:color w:val="auto"/>
        </w:rPr>
      </w:pPr>
      <w:r>
        <w:rPr>
          <w:rFonts w:ascii="Times New Roman" w:cs="Times New Roman" w:eastAsia="Times New Roman" w:hAnsi="Times New Roman"/>
          <w:sz w:val="18"/>
          <w:szCs w:val="18"/>
          <w:color w:val="auto"/>
        </w:rPr>
        <w:t>The Company has contract liabilities for advanced payments received from customers for future oil deliveries (primarily amounts received from customers on “smart pay” budget payment plans in advance of oil deliveries) and obligations to service customers with equipment maintenance service contracts. Approximately 34% of our residential customers take advantage of our “smart pay” budget payment plan under which their estimated annual oil and propane deliveries and service contract billings are paid for in a series of equal monthly installments. Our “smart pay” budget payment plans are annual and generally begin outside of the heating season. We generally have received advanced amounts from customers on “smart pay” budget payment plans prior to the heating season, which are reduced as oil deliveries are made. For customers that are not on “smart pay” budget payment plans, we generally receive the full contract amount for equipment service contracts with customers at the outset of the contracts. Contract liabilities are recognized straight-line over the service contract period, generally one-year or less. As of September 30, 2020 and September 30, 2019 the Company had contract liabilities of $139.6 million and $127.0 million, respectively. During the year ended September 30, 2020 the Company recognized $118.6 million of revenue that was included in the September 30, 2019 contract liability balance. During the year ended September 30, 2019 the Company recognized $111.0 million of revenue that was included in the September 30, 2018 contract liability balance.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Quarterly Distribution of Available Cash</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The Company’s Partnership Agreement provides that beginning October 1, 2008, the minimum quarterly distributions on the common units will start accruing at the rate of $0.0675 per quarter ($0.27 on an annual basis). In general, the Company intends to distribute to its partners on a quarterly basis, all of its available cash, if any, in the manner described below. “Available cash” generally means, for any of its fiscal quarters, all cash on hand at the end of that quarter, less the amount of cash reserves that are necessary or appropriate in the reasonable discretion of the general partners to:</w:t>
      </w:r>
    </w:p>
    <w:p>
      <w:pPr>
        <w:spacing w:after="0" w:line="72" w:lineRule="exact"/>
        <w:rPr>
          <w:sz w:val="20"/>
          <w:szCs w:val="20"/>
          <w:color w:val="auto"/>
        </w:rPr>
      </w:pPr>
    </w:p>
    <w:p>
      <w:pPr>
        <w:ind w:left="1020" w:hanging="432"/>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the Company’s business including acquisitions and debt payments;</w:t>
      </w:r>
    </w:p>
    <w:p>
      <w:pPr>
        <w:spacing w:after="0" w:line="1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any of its debt instruments or other agreements;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ind w:left="1020" w:hanging="432"/>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the common unitholders during the next four quarters, in some circumstances.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Available cash will generally be distributed as follows:</w:t>
      </w:r>
    </w:p>
    <w:p>
      <w:pPr>
        <w:spacing w:after="0" w:line="117" w:lineRule="exact"/>
        <w:rPr>
          <w:sz w:val="20"/>
          <w:szCs w:val="20"/>
          <w:color w:val="auto"/>
        </w:rPr>
      </w:pPr>
    </w:p>
    <w:p>
      <w:pPr>
        <w:ind w:left="1020" w:hanging="432"/>
        <w:spacing w:after="0"/>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100% to the common units, pro rata, until the Company distributes to each common unit the minimum quarterly distribution of $0.0675;</w:t>
      </w:r>
    </w:p>
    <w:p>
      <w:pPr>
        <w:spacing w:after="0" w:line="128" w:lineRule="exact"/>
        <w:rPr>
          <w:rFonts w:ascii="Times New Roman" w:cs="Times New Roman" w:eastAsia="Times New Roman" w:hAnsi="Times New Roman"/>
          <w:sz w:val="17"/>
          <w:szCs w:val="17"/>
          <w:color w:val="auto"/>
        </w:rPr>
      </w:pPr>
    </w:p>
    <w:p>
      <w:pPr>
        <w:ind w:left="1020" w:right="100" w:hanging="432"/>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the common units, pro rata, until the Company distributes to each common unit any arrearages in payment of the minimum quarterly distribution on the common units for prior quarters;</w:t>
      </w:r>
    </w:p>
    <w:p>
      <w:pPr>
        <w:spacing w:after="0" w:line="53" w:lineRule="exact"/>
        <w:rPr>
          <w:rFonts w:ascii="Times New Roman" w:cs="Times New Roman" w:eastAsia="Times New Roman" w:hAnsi="Times New Roman"/>
          <w:sz w:val="18"/>
          <w:szCs w:val="18"/>
          <w:color w:val="auto"/>
        </w:rPr>
      </w:pPr>
    </w:p>
    <w:p>
      <w:pPr>
        <w:ind w:left="1020" w:right="800" w:hanging="432"/>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100% to the general partner units, pro rata, until the Company distributes to each general partner unit the minimum quarterly distribution of $0.0675;</w:t>
      </w:r>
    </w:p>
    <w:p>
      <w:pPr>
        <w:spacing w:after="0" w:line="53" w:lineRule="exact"/>
        <w:rPr>
          <w:rFonts w:ascii="Times New Roman" w:cs="Times New Roman" w:eastAsia="Times New Roman" w:hAnsi="Times New Roman"/>
          <w:sz w:val="18"/>
          <w:szCs w:val="18"/>
          <w:color w:val="auto"/>
        </w:rPr>
      </w:pPr>
    </w:p>
    <w:p>
      <w:pPr>
        <w:ind w:left="1020" w:right="220" w:hanging="432"/>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90% to the common units, pro rata, and 10% to the general partner units, pro rata (subject to the Management Incentive Plan), until the Company distributes to each common unit the first target distribution of $0.1125; and</w:t>
      </w:r>
    </w:p>
    <w:p>
      <w:pPr>
        <w:spacing w:after="0" w:line="53"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80% to the common units, pro rata, and 20% to the general partner units, pro rata.</w:t>
      </w:r>
    </w:p>
    <w:p>
      <w:pPr>
        <w:spacing w:after="0" w:line="225" w:lineRule="exact"/>
        <w:rPr>
          <w:sz w:val="20"/>
          <w:szCs w:val="20"/>
          <w:color w:val="auto"/>
        </w:rPr>
      </w:pPr>
    </w:p>
    <w:p>
      <w:pPr>
        <w:jc w:val="both"/>
        <w:ind w:right="20" w:firstLine="589"/>
        <w:spacing w:after="0" w:line="266" w:lineRule="auto"/>
        <w:rPr>
          <w:sz w:val="20"/>
          <w:szCs w:val="20"/>
          <w:color w:val="auto"/>
        </w:rPr>
      </w:pPr>
      <w:r>
        <w:rPr>
          <w:rFonts w:ascii="Times New Roman" w:cs="Times New Roman" w:eastAsia="Times New Roman" w:hAnsi="Times New Roman"/>
          <w:sz w:val="18"/>
          <w:szCs w:val="18"/>
          <w:color w:val="auto"/>
        </w:rPr>
        <w:t>The Company is obligated to meet certain financial covenants under the fifth amended and restated credit agreement. The Company must maintain excess availability of at least 15.0% of the revolving commitment then in effect and a fixed charge coverage ratio of 1.15 in order to make any distributions to unitholders. (See Note 13—Long-Term Debt and Bank Facility Borrowings)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fiscal 2020, 2019, and 2018, cash distributions declared per common unit were $0.515, $0.485, and $0.455, respectively.</w:t>
      </w:r>
    </w:p>
    <w:p>
      <w:pPr>
        <w:spacing w:after="0" w:line="225" w:lineRule="exact"/>
        <w:rPr>
          <w:sz w:val="20"/>
          <w:szCs w:val="20"/>
          <w:color w:val="auto"/>
        </w:rPr>
      </w:pPr>
    </w:p>
    <w:p>
      <w:pPr>
        <w:ind w:right="500" w:firstLine="589"/>
        <w:spacing w:after="0" w:line="282" w:lineRule="auto"/>
        <w:rPr>
          <w:sz w:val="20"/>
          <w:szCs w:val="20"/>
          <w:color w:val="auto"/>
        </w:rPr>
      </w:pPr>
      <w:r>
        <w:rPr>
          <w:rFonts w:ascii="Times New Roman" w:cs="Times New Roman" w:eastAsia="Times New Roman" w:hAnsi="Times New Roman"/>
          <w:sz w:val="18"/>
          <w:szCs w:val="18"/>
          <w:color w:val="auto"/>
        </w:rPr>
        <w:t>For fiscal 2020, 2019, and 2018, $0.8 million, $0.7 million, and $0.6 million, respectively, of incentive distributions were paid to the general partner, exclusive of amounts paid subject to the Management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Unit Repurchase Plans and Retirement</w:t>
      </w:r>
    </w:p>
    <w:p>
      <w:pPr>
        <w:spacing w:after="0" w:line="121"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In July 2012, the Board adopted a plan to repurchase certain of the Company’s Common Units (the “Repurchase Plan”). Through August 2020, the Company had repurchased approximately 14.4 million Common Units under the Repurchase Plan. In August 2020, the Board authorized an increase of the number of Common Units that remained available for the Company to repurchase from 2.0 million to a total of 6.0 million, of which, 4.9 million were available for repurchase in open market transactions and 1.1 million were available for repurchase in privately-negotiated transactions. The Company repurchased approximately 3.7 million Common Units in fiscal year 2020, and repurchased 0.5 million total Common Units in October and November 2020 under the Repurchase Plan. There is no guarantee of the exact number of units that will be purchased under the program and the Company may discontinue purchases at any time. The program does not have a time limit. The Board may also approve additional purchases of units from time to time in private transactions. The Company’s repurchase activities take into account SEC safe harbor rules and guidance for issuer repurchases. All of the Common Units purchased in the repurchase program will be retired.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ind w:right="260" w:firstLine="589"/>
        <w:spacing w:after="0" w:line="271" w:lineRule="auto"/>
        <w:rPr>
          <w:sz w:val="20"/>
          <w:szCs w:val="20"/>
          <w:color w:val="auto"/>
        </w:rPr>
      </w:pPr>
      <w:r>
        <w:rPr>
          <w:rFonts w:ascii="Times New Roman" w:cs="Times New Roman" w:eastAsia="Times New Roman" w:hAnsi="Times New Roman"/>
          <w:sz w:val="18"/>
          <w:szCs w:val="18"/>
          <w:color w:val="auto"/>
        </w:rPr>
        <w:t>Under the Credit Agreement dated December 4, 2019, in order to repurchase Common Units we must maintain Availability (as defined in the amended and restated credit agreement) of $45 million, 15.0% of the facility size of $300 million (assuming the non-seasonal aggregate commitment is outstanding) on a historical pro forma and forward-looking basis, and a fixed charge coverage ratio of not less than 1.15 measured as of the date of repurchase. (See Note 13—Long-Term Debt and Bank Facility Borrowings). The following table shows repurchases under the Repurchase Plan.</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thousands, except per unit amounts)</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 that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per Unit</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760" w:type="dxa"/>
            <w:vAlign w:val="bottom"/>
            <w:gridSpan w:val="2"/>
            <w:vMerge w:val="continue"/>
          </w:tcPr>
          <w:p>
            <w:pPr>
              <w:spacing w:after="0"/>
              <w:rPr>
                <w:sz w:val="13"/>
                <w:szCs w:val="13"/>
                <w:color w:val="auto"/>
              </w:rPr>
            </w:pPr>
          </w:p>
        </w:tc>
        <w:tc>
          <w:tcPr>
            <w:tcW w:w="12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3"/>
                <w:szCs w:val="13"/>
                <w:color w:val="auto"/>
              </w:rPr>
            </w:pPr>
          </w:p>
        </w:tc>
        <w:tc>
          <w:tcPr>
            <w:tcW w:w="12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w:t>
            </w:r>
          </w:p>
        </w:tc>
        <w:tc>
          <w:tcPr>
            <w:tcW w:w="12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Yet Be Purchased</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FF0FC"/>
            </w:tcBorders>
            <w:shd w:val="clear" w:color="auto" w:fill="000000"/>
          </w:tcPr>
          <w:p>
            <w:pPr>
              <w:spacing w:after="0" w:line="20" w:lineRule="exact"/>
              <w:rPr>
                <w:sz w:val="1"/>
                <w:szCs w:val="1"/>
                <w:color w:val="auto"/>
              </w:rPr>
            </w:pPr>
          </w:p>
        </w:tc>
        <w:tc>
          <w:tcPr>
            <w:tcW w:w="436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2012 to 2019 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First quarter fiscal year 2020 total</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FF0FC"/>
            </w:tcBorders>
            <w:gridSpan w:val="2"/>
            <w:vMerge w:val="continue"/>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6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fiscal year 2020 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Third quarter fiscal year 2020 total</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FF0FC"/>
            </w:tcBorders>
            <w:gridSpan w:val="2"/>
            <w:vMerge w:val="continue"/>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0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36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2020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Fourth quarter fiscal year 2020 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0" w:type="dxa"/>
            <w:vAlign w:val="bottom"/>
            <w:tcBorders>
              <w:bottom w:val="single" w:sz="8" w:color="CFF0FC"/>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3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2020 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FF0FC"/>
            </w:tcBorders>
            <w:gridSpan w:val="2"/>
            <w:vMerge w:val="continue"/>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3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760" w:type="dxa"/>
            <w:vAlign w:val="bottom"/>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November 2020</w:t>
            </w: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60" w:type="dxa"/>
            <w:vAlign w:val="bottom"/>
            <w:shd w:val="clear" w:color="auto" w:fill="CFF0FC"/>
          </w:tcPr>
          <w:p>
            <w:pPr>
              <w:ind w:left="100"/>
              <w:spacing w:after="0" w:line="192" w:lineRule="exact"/>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400" w:type="dxa"/>
            <w:vAlign w:val="bottom"/>
            <w:tcBorders>
              <w:bottom w:val="single" w:sz="8" w:color="CFF0FC"/>
            </w:tcBorders>
            <w:shd w:val="clear" w:color="auto" w:fill="CFF0FC"/>
          </w:tcPr>
          <w:p>
            <w:pPr>
              <w:spacing w:after="0"/>
              <w:rPr>
                <w:sz w:val="20"/>
                <w:szCs w:val="20"/>
                <w:color w:val="auto"/>
              </w:rPr>
            </w:pPr>
          </w:p>
        </w:tc>
        <w:tc>
          <w:tcPr>
            <w:tcW w:w="4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repurchase costs.</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of fiscal year 2020 Common Units repurchased include 0.6 million common units acquired in a private transaction.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2020, the Board authorized an increase in the number of Common Units available for repurchase from 0.1 million to 1.1 million.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2020, the Board authorized an increase in the number of Common Units available for repurchase from 0.1 million to 3.6 million.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2020, the Board authorized an increase in the number of Common Units available for repurchase from 2.0 million to 6.0 million</w:t>
      </w:r>
    </w:p>
    <w:p>
      <w:pPr>
        <w:spacing w:after="0" w:line="207" w:lineRule="exact"/>
        <w:rPr>
          <w:sz w:val="20"/>
          <w:szCs w:val="20"/>
          <w:color w:val="auto"/>
        </w:rPr>
      </w:pPr>
    </w:p>
    <w:p>
      <w:pPr>
        <w:ind w:left="580" w:right="460" w:hanging="579"/>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Of the total available for repurchase, approximately 4.2 million are available for repurchase in open market transactions and 1.1 million are available for repurchase in privately-negotiated transactions.</w:t>
      </w:r>
    </w:p>
    <w:p>
      <w:pPr>
        <w:ind w:left="580" w:hanging="572"/>
        <w:spacing w:after="0" w:line="255"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16, 2020, the Company entered into a Unit Purchase Agreement with Moab Partners, L.P. and purchased 1.4 million Common Units in a private transaction for aggregate consideration of approximately $13.8 million. The purchase was made outside of the Company’s unit repurchase plan.</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6) Captive Insurance Collateral</w:t>
      </w:r>
    </w:p>
    <w:p>
      <w:pPr>
        <w:spacing w:after="0" w:line="229" w:lineRule="exact"/>
        <w:rPr>
          <w:sz w:val="20"/>
          <w:szCs w:val="20"/>
          <w:color w:val="auto"/>
        </w:rPr>
      </w:pPr>
    </w:p>
    <w:p>
      <w:pPr>
        <w:ind w:right="160" w:firstLine="447"/>
        <w:spacing w:after="0" w:line="282" w:lineRule="auto"/>
        <w:rPr>
          <w:sz w:val="20"/>
          <w:szCs w:val="20"/>
          <w:color w:val="auto"/>
        </w:rPr>
      </w:pPr>
      <w:r>
        <w:rPr>
          <w:rFonts w:ascii="Times New Roman" w:cs="Times New Roman" w:eastAsia="Times New Roman" w:hAnsi="Times New Roman"/>
          <w:sz w:val="18"/>
          <w:szCs w:val="18"/>
          <w:color w:val="auto"/>
        </w:rPr>
        <w:t>The Company considers all of its captive insurance collateral to be available-for-sale investments. Investments at September 30, 2020 consist of the following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40" w:type="dxa"/>
            <w:vAlign w:val="bottom"/>
          </w:tcPr>
          <w:p>
            <w:pPr>
              <w:spacing w:after="0"/>
              <w:rPr>
                <w:sz w:val="13"/>
                <w:szCs w:val="13"/>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42,032</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Bonds and Notes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67,842</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Investments at September 30, 2019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Bonds and Notes</w:t>
            </w:r>
          </w:p>
        </w:tc>
        <w:tc>
          <w:tcPr>
            <w:tcW w:w="9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investments were as follows at September 30, 2020 (in thousands):</w:t>
      </w:r>
    </w:p>
    <w:p>
      <w:pPr>
        <w:spacing w:after="0" w:line="327"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Hedging—Disclosures and Fair Value Measurements</w:t>
      </w:r>
    </w:p>
    <w:p>
      <w:pPr>
        <w:spacing w:after="0" w:line="12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The Company uses derivative instruments such as futures, options and swap agreements in order to mitigate exposure to market risk associated with the purchase of home heating oil for price-protected customers, physical inventory on hand, inventory in transit, priced purchase commitments and internal fuel usage. FASB ASC 815-10-05 Derivatives and Hedging, established accounting and reporting standards requiring that derivative instruments be recorded at fair value and included in the consolidated balance sheet as assets or liabilities, along with qualitative disclosures regarding the derivative activity. The Company has elected not to designate its commodity derivative instruments as hedging derivatives, but rather as economic hedges whose change in fair value is recognized in its statement of operations in the line item (Increase) decrease in the fair value of derivative instruments. Depending on the risk being economically hedged, realized gains and losses are recorded in cost of product, cost of installations and services, or delivery and branch expenses.</w:t>
      </w:r>
    </w:p>
    <w:p>
      <w:pPr>
        <w:spacing w:after="0" w:line="192"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As of September 30, 2020, to hedge a substantial majority of the purchase price associated with heating oil gallons anticipated to be sold to its price-protected customers, the Company held the following derivative instruments that settle in future months to match anticipated sales: 11.3 million gallons of swap contracts with a notional value of $16.0 million and a fair value of $(2.6) million, 8.5 million gallons of call options with a notional value of $17.4 million and a fair value of $0.1 million, 5.1 million gallons of put options with a notional value of $4.2 million and a fair value of $0.2 million, and 80.7 million net gallons of synthetic call options with an average notional value of $123.4 million and a fair value of $(8.6) million. To hedge the inter-month differentials for its price-protected customers, its physical inventory on hand and inventory in transit, the Company, as of September 30, 2020, had 19.2 million gallons of purchased short swap contracts with a notional value of $22.7 million and a fair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4" w:name="page95"/>
    <w:bookmarkEnd w:id="94"/>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value of less than $0.1 million, 3.8 million gallons of purchased long future contracts that settle daily with a notional value of $5.4 million and a fair value of $(0.4) million, and 11.1 million gallons of short future contracts that settle daily with a notional value of $14.3 million and a fair value of $0.7 million. To hedge its internal fuel usage and other related activities for fiscal 2021, the Company, as of September 30, 2020, had 7.0 million gallons of call options and swap contracts with a notional value of $10.7 million and a fair value of $(0.4) million that settle in future months.</w:t>
      </w:r>
    </w:p>
    <w:p>
      <w:pPr>
        <w:spacing w:after="0" w:line="180"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As of September 30, 2019, to hedge a substantial majority of the purchase price associated with heating oil gallons anticipated to be sold to its price-protected customers, the Company held the following derivative instruments that settle in future months to match anticipated sales: 15.5 million gallons of swap contracts with a notional value of $29.7 million and a fair value of $(1.0) million, 6.1 million gallons of call options with a notional value of $15.6 million and a fair value of $0.1 million, 5.9 million gallons of put options with a notional value of $7.7 million and a fair value of $28 thousand, and 81.0 million net gallons of synthetic call options with an average notional value of $165.4 million and a fair value of $(7.2) million. To hedge the inter-month differentials for its price-protected customers, its physical inventory on hand and inventory in transit, the Company, as of September 30, 2019, had 1.3 million gallons of purchased swap contracts with a notional value of $2.4 million and a fair value of $(0.1) million, 45.2 million gallons of purchased future contracts that settle daily with a notional value of $83.2 million and a fair value of $(0.9) million, and 67.5 million gallons of short future contracts that settle daily with a notional value of $124.9 million and a fair value of $0.2 million. To hedge its internal fuel usage and other related activities for fiscal 2020, the Company, as of September 30, 2019, had 4.2 million gallons of swap contracts with a notional value of $7.4 million and a fair value of $(0.3) million that settle in future months</w:t>
      </w:r>
    </w:p>
    <w:p>
      <w:pPr>
        <w:spacing w:after="0" w:line="192" w:lineRule="exact"/>
        <w:rPr>
          <w:sz w:val="20"/>
          <w:szCs w:val="20"/>
          <w:color w:val="auto"/>
        </w:rPr>
      </w:pPr>
    </w:p>
    <w:p>
      <w:pPr>
        <w:ind w:right="80" w:firstLine="589"/>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has interest rate swap agreements in order to mitigate exposure to market risk associated with variable rate interest on $64.0 million, or 52%, of its long term debt. 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until the underlying hedged item is recognized in earnings. As of September 30, 2020 the fair value of the swap contracts was $(3.1) million. As of September 30, 2019, the notional value of the swap contracts was $45.0 million and the fair value of the swap contracts was $(2.0) million. We utilized Level 2 inputs in the fair value hierarchy of valuation techniques to determine the fair value of the swap contracts.</w:t>
      </w:r>
    </w:p>
    <w:p>
      <w:pPr>
        <w:spacing w:after="0" w:line="189"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The Company’s derivative instruments are with the following counterparties: Bank of America, N.A., Bank of Montreal, Cargill, Inc., Citibank, N.A., JPMorgan Chase Bank, N.A., Key Bank, N.A., Toronto-Dominion Bank and Wells Fargo Bank, N.A. The Company assesses counterparty credit risk and considers it to be low. We maintain master netting arrangements that allow for the non-conditional offsetting of amounts receivable and payable with counterparties to help manage our risks and record derivative positions on a net basis. The Company generally does not receive cash collateral from its counterparties and does not restrict the use of cash collateral it maintains at counterparties. At September 30, 2020, the aggregate cash posted as collateral in the normal course of business at counterparties was $0.1 million. Positions with counterparties who are also parties to our credit agreement are collateralized under that facility. As of September 30, 2020, $11.1 million hedge positions and payable amounts were secured under the credit facility.</w:t>
      </w:r>
    </w:p>
    <w:p>
      <w:pPr>
        <w:spacing w:after="0" w:line="189" w:lineRule="exact"/>
        <w:rPr>
          <w:sz w:val="20"/>
          <w:szCs w:val="20"/>
          <w:color w:val="auto"/>
        </w:rPr>
      </w:pPr>
    </w:p>
    <w:p>
      <w:pPr>
        <w:ind w:right="60" w:firstLine="589"/>
        <w:spacing w:after="0" w:line="254" w:lineRule="auto"/>
        <w:rPr>
          <w:sz w:val="20"/>
          <w:szCs w:val="20"/>
          <w:color w:val="auto"/>
        </w:rPr>
      </w:pPr>
      <w:r>
        <w:rPr>
          <w:rFonts w:ascii="Times New Roman" w:cs="Times New Roman" w:eastAsia="Times New Roman" w:hAnsi="Times New Roman"/>
          <w:sz w:val="18"/>
          <w:szCs w:val="18"/>
          <w:color w:val="auto"/>
        </w:rPr>
        <w:t>The Company’s Level 1 derivative assets and liabilities represent the fair value of commodity contracts used in its hedging activities that are identical and traded in active markets. The Company’s Level 2 derivative assets and liabilities represent the fair value of commodity and interest rate contracts used in its hedging activities that are valued using either directly or indirectly observable inputs, whose nature, risk and class are similar. No significant transfers of assets or liabilities have been made into and out of the Level 1 or Level 2 tiers. All derivative instruments were non-trading positions and were either a Level 1 or Level 2 instrument. The Company had no Level 3 derivative instruments. The fair market value of our Level 1 and Level 2 derivative assets and liabilities are calculated by our counter-parties and are independently validated by the Company. The Company’s calculations are, for Level 1 derivative assets and liabilities, based on the published New York Mercantile Exchange (“NYMEX”) market prices for the commodity contracts open at the end of the period. For Level 2 derivative assets and liabilities the calculations performed by the Company are based on a combination of the NYMEX published market prices and other inputs, including such factors as present value, volatility and duration.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5" w:name="page96"/>
    <w:bookmarkEnd w:id="95"/>
    <w:p>
      <w:pPr>
        <w:ind w:right="660" w:firstLine="589"/>
        <w:spacing w:after="0" w:line="282" w:lineRule="auto"/>
        <w:rPr>
          <w:sz w:val="20"/>
          <w:szCs w:val="20"/>
          <w:color w:val="auto"/>
        </w:rPr>
      </w:pPr>
      <w:r>
        <w:rPr>
          <w:rFonts w:ascii="Times New Roman" w:cs="Times New Roman" w:eastAsia="Times New Roman" w:hAnsi="Times New Roman"/>
          <w:sz w:val="18"/>
          <w:szCs w:val="18"/>
          <w:color w:val="auto"/>
        </w:rPr>
        <w:t>The Company had no assets or liabilities that are measured at fair value on a nonrecurring basis subsequent to their initial recognition. The Company’s commodity financial assets and liabilities measured at fair value on a recurring basis are listed on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272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top w:val="single" w:sz="8" w:color="auto"/>
            </w:tcBorders>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7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7"/>
        </w:trPr>
        <w:tc>
          <w:tcPr>
            <w:tcW w:w="27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Under FASB ASC 815-10</w:t>
            </w:r>
          </w:p>
        </w:tc>
        <w:tc>
          <w:tcPr>
            <w:tcW w:w="1020" w:type="dxa"/>
            <w:vAlign w:val="bottom"/>
          </w:tcPr>
          <w:p>
            <w:pPr>
              <w:spacing w:after="0"/>
              <w:rPr>
                <w:sz w:val="14"/>
                <w:szCs w:val="14"/>
                <w:color w:val="auto"/>
              </w:rPr>
            </w:pPr>
          </w:p>
        </w:tc>
        <w:tc>
          <w:tcPr>
            <w:tcW w:w="38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4"/>
                <w:szCs w:val="14"/>
                <w:color w:val="auto"/>
              </w:rPr>
            </w:pPr>
          </w:p>
        </w:tc>
        <w:tc>
          <w:tcPr>
            <w:tcW w:w="104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11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29"/>
        </w:trPr>
        <w:tc>
          <w:tcPr>
            <w:tcW w:w="15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CFF0FC"/>
              <w:bottom w:val="single" w:sz="8" w:color="auto"/>
            </w:tcBorders>
            <w:shd w:val="clear" w:color="auto" w:fill="CFF0FC"/>
          </w:tcPr>
          <w:p>
            <w:pPr>
              <w:spacing w:after="0"/>
              <w:rPr>
                <w:sz w:val="19"/>
                <w:szCs w:val="19"/>
                <w:color w:val="auto"/>
              </w:rPr>
            </w:pPr>
          </w:p>
        </w:tc>
        <w:tc>
          <w:tcPr>
            <w:tcW w:w="1020" w:type="dxa"/>
            <w:vAlign w:val="bottom"/>
            <w:tcBorders>
              <w:top w:val="single" w:sz="8" w:color="CFF0FC"/>
              <w:bottom w:val="single" w:sz="8" w:color="auto"/>
            </w:tcBorders>
            <w:shd w:val="clear" w:color="auto" w:fill="CFF0FC"/>
          </w:tcPr>
          <w:p>
            <w:pPr>
              <w:spacing w:after="0"/>
              <w:rPr>
                <w:sz w:val="19"/>
                <w:szCs w:val="19"/>
                <w:color w:val="auto"/>
              </w:rPr>
            </w:pPr>
          </w:p>
        </w:tc>
        <w:tc>
          <w:tcPr>
            <w:tcW w:w="36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Asset Derivatives at September 30, 2020</w:t>
            </w:r>
          </w:p>
        </w:tc>
        <w:tc>
          <w:tcPr>
            <w:tcW w:w="120" w:type="dxa"/>
            <w:vAlign w:val="bottom"/>
            <w:tcBorders>
              <w:top w:val="single" w:sz="8" w:color="CFF0FC"/>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derivative liabilities included in the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5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September 30,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26,164</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26,164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800" w:type="dxa"/>
            <w:vAlign w:val="bottom"/>
            <w:tcBorders>
              <w:bottom w:val="single" w:sz="8" w:color="auto"/>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Liability Derivatives at September 30, 2020</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derivative liabilities included in the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63"/>
        </w:trPr>
        <w:tc>
          <w:tcPr>
            <w:tcW w:w="75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September 30,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(37,490)</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800" w:type="dxa"/>
            <w:vAlign w:val="bottom"/>
            <w:tcBorders>
              <w:bottom w:val="single" w:sz="8" w:color="auto"/>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Asset Derivatives at September 30, 2019</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derivative liabilities included in the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5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September 30, 2019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15,290</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800" w:type="dxa"/>
            <w:vAlign w:val="bottom"/>
            <w:tcBorders>
              <w:bottom w:val="single" w:sz="8" w:color="auto"/>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Liability Derivatives at September 30, 2019</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derivative liabilities included in the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82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23"/>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September 30, 2019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(23,805)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F-24</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right="80" w:firstLine="589"/>
        <w:spacing w:after="0" w:line="282" w:lineRule="auto"/>
        <w:rPr>
          <w:sz w:val="20"/>
          <w:szCs w:val="20"/>
          <w:color w:val="auto"/>
        </w:rPr>
      </w:pPr>
      <w:r>
        <w:rPr>
          <w:rFonts w:ascii="Times New Roman" w:cs="Times New Roman" w:eastAsia="Times New Roman" w:hAnsi="Times New Roman"/>
          <w:sz w:val="18"/>
          <w:szCs w:val="18"/>
          <w:color w:val="auto"/>
        </w:rPr>
        <w:t>The Company’s commodity derivative assets (liabilities) offset by counterparty and subject to an enforceable master netting arrangement are listed on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15"/>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0" w:type="dxa"/>
            <w:vAlign w:val="bottom"/>
          </w:tcPr>
          <w:p>
            <w:pPr>
              <w:spacing w:after="0"/>
              <w:rPr>
                <w:sz w:val="1"/>
                <w:szCs w:val="1"/>
                <w:color w:val="auto"/>
              </w:rPr>
            </w:pPr>
          </w:p>
        </w:tc>
      </w:tr>
      <w:tr>
        <w:trPr>
          <w:trHeight w:val="173"/>
        </w:trPr>
        <w:tc>
          <w:tcPr>
            <w:tcW w:w="3240" w:type="dxa"/>
            <w:vAlign w:val="bottom"/>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Financial Position</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2"/>
                <w:szCs w:val="12"/>
                <w:color w:val="auto"/>
              </w:rPr>
            </w:pPr>
          </w:p>
        </w:tc>
        <w:tc>
          <w:tcPr>
            <w:tcW w:w="102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Financial Assets (Liabilities)</w:t>
            </w: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80" w:type="dxa"/>
            <w:vAlign w:val="bottom"/>
          </w:tcPr>
          <w:p>
            <w:pPr>
              <w:spacing w:after="0"/>
              <w:rPr>
                <w:sz w:val="12"/>
                <w:szCs w:val="12"/>
                <w:color w:val="auto"/>
              </w:rPr>
            </w:pPr>
          </w:p>
        </w:tc>
        <w:tc>
          <w:tcPr>
            <w:tcW w:w="1020" w:type="dxa"/>
            <w:vAlign w:val="bottom"/>
            <w:gridSpan w:val="3"/>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324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1020" w:type="dxa"/>
            <w:vAlign w:val="bottom"/>
            <w:gridSpan w:val="3"/>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of Financial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and Derivative Assets (Liabilities)</w:t>
            </w:r>
          </w:p>
        </w:tc>
        <w:tc>
          <w:tcPr>
            <w:tcW w:w="1440" w:type="dxa"/>
            <w:vAlign w:val="bottom"/>
          </w:tcPr>
          <w:p>
            <w:pPr>
              <w:spacing w:after="0"/>
              <w:rPr>
                <w:sz w:val="13"/>
                <w:szCs w:val="13"/>
                <w:color w:val="auto"/>
              </w:rPr>
            </w:pPr>
          </w:p>
        </w:tc>
        <w:tc>
          <w:tcPr>
            <w:tcW w:w="104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1"/>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Position</w:t>
            </w:r>
          </w:p>
        </w:tc>
        <w:tc>
          <w:tcPr>
            <w:tcW w:w="80" w:type="dxa"/>
            <w:vAlign w:val="bottom"/>
          </w:tcPr>
          <w:p>
            <w:pPr>
              <w:spacing w:after="0"/>
              <w:rPr>
                <w:sz w:val="13"/>
                <w:szCs w:val="13"/>
                <w:color w:val="auto"/>
              </w:rPr>
            </w:pPr>
          </w:p>
        </w:tc>
        <w:tc>
          <w:tcPr>
            <w:tcW w:w="90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3"/>
                <w:szCs w:val="13"/>
                <w:color w:val="auto"/>
              </w:rPr>
            </w:pPr>
          </w:p>
        </w:tc>
        <w:tc>
          <w:tcPr>
            <w:tcW w:w="1100" w:type="dxa"/>
            <w:vAlign w:val="bottom"/>
            <w:gridSpan w:val="6"/>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40" w:type="dxa"/>
            <w:vAlign w:val="bottom"/>
          </w:tcPr>
          <w:p>
            <w:pPr>
              <w:spacing w:after="0"/>
              <w:rPr>
                <w:sz w:val="13"/>
                <w:szCs w:val="13"/>
                <w:color w:val="auto"/>
              </w:rPr>
            </w:pPr>
          </w:p>
        </w:tc>
        <w:tc>
          <w:tcPr>
            <w:tcW w:w="900" w:type="dxa"/>
            <w:vAlign w:val="bottom"/>
            <w:gridSpan w:val="4"/>
          </w:tcPr>
          <w:p>
            <w:pPr>
              <w:jc w:val="right"/>
              <w:ind w:right="261"/>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FF0FC"/>
            </w:tcBorders>
            <w:shd w:val="clear" w:color="auto" w:fill="000000"/>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80" w:type="dxa"/>
            <w:vAlign w:val="bottom"/>
            <w:gridSpan w:val="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other long-term assets,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(1,478)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(35,711)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0" w:type="dxa"/>
            <w:vAlign w:val="bottom"/>
          </w:tcPr>
          <w:p>
            <w:pPr>
              <w:spacing w:after="0"/>
              <w:rPr>
                <w:sz w:val="1"/>
                <w:szCs w:val="1"/>
                <w:color w:val="auto"/>
              </w:rPr>
            </w:pPr>
          </w:p>
        </w:tc>
      </w:tr>
      <w:tr>
        <w:trPr>
          <w:trHeight w:val="211"/>
        </w:trPr>
        <w:tc>
          <w:tcPr>
            <w:tcW w:w="48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derivative liabilities included in other long-term</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net</w:t>
            </w: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Total at September 30, 2020</w:t>
            </w:r>
          </w:p>
        </w:tc>
        <w:tc>
          <w:tcPr>
            <w:tcW w:w="14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(37,490</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(11,326</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4680" w:type="dxa"/>
            <w:vAlign w:val="bottom"/>
            <w:gridSpan w:val="4"/>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Long-term derivative assets included in other long-term assets,</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(22,086)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11"/>
        </w:trPr>
        <w:tc>
          <w:tcPr>
            <w:tcW w:w="48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derivative liabilities included in other long-term</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net</w:t>
            </w: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at September 30, 2019</w:t>
            </w:r>
          </w:p>
        </w:tc>
        <w:tc>
          <w:tcPr>
            <w:tcW w:w="1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240" w:type="dxa"/>
            <w:vAlign w:val="bottom"/>
            <w:gridSpan w:val="3"/>
            <w:vMerge w:val="continue"/>
          </w:tcPr>
          <w:p>
            <w:pPr>
              <w:spacing w:after="0"/>
              <w:rPr>
                <w:sz w:val="24"/>
                <w:szCs w:val="24"/>
                <w:color w:val="auto"/>
              </w:rPr>
            </w:pPr>
          </w:p>
        </w:tc>
        <w:tc>
          <w:tcPr>
            <w:tcW w:w="4660" w:type="dxa"/>
            <w:vAlign w:val="bottom"/>
            <w:gridSpan w:val="1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Statement of Operations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gridSpan w:val="1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1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Amount of (Gain) or Loss Recognized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1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0" w:type="dxa"/>
            <w:vAlign w:val="bottom"/>
          </w:tcPr>
          <w:p>
            <w:pPr>
              <w:spacing w:after="0"/>
              <w:rPr>
                <w:sz w:val="1"/>
                <w:szCs w:val="1"/>
                <w:color w:val="auto"/>
              </w:rPr>
            </w:pPr>
          </w:p>
        </w:tc>
      </w:tr>
      <w:tr>
        <w:trPr>
          <w:trHeight w:val="131"/>
        </w:trPr>
        <w:tc>
          <w:tcPr>
            <w:tcW w:w="3240" w:type="dxa"/>
            <w:vAlign w:val="bottom"/>
            <w:gridSpan w:val="3"/>
            <w:vMerge w:val="continue"/>
          </w:tcPr>
          <w:p>
            <w:pPr>
              <w:spacing w:after="0"/>
              <w:rPr>
                <w:sz w:val="11"/>
                <w:szCs w:val="11"/>
                <w:color w:val="auto"/>
              </w:rPr>
            </w:pPr>
          </w:p>
        </w:tc>
        <w:tc>
          <w:tcPr>
            <w:tcW w:w="4660" w:type="dxa"/>
            <w:vAlign w:val="bottom"/>
            <w:gridSpan w:val="12"/>
            <w:vMerge w:val="restart"/>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4660" w:type="dxa"/>
            <w:vAlign w:val="bottom"/>
            <w:gridSpan w:val="1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 Under FASB ASC 815-10</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6"/>
          </w:tcPr>
          <w:p>
            <w:pPr>
              <w:jc w:val="right"/>
              <w:ind w:right="161"/>
              <w:spacing w:after="0" w:line="160" w:lineRule="exact"/>
              <w:rPr>
                <w:sz w:val="20"/>
                <w:szCs w:val="20"/>
                <w:color w:val="auto"/>
              </w:rPr>
            </w:pPr>
            <w:r>
              <w:rPr>
                <w:rFonts w:ascii="Times New Roman" w:cs="Times New Roman" w:eastAsia="Times New Roman" w:hAnsi="Times New Roman"/>
                <w:sz w:val="14"/>
                <w:szCs w:val="14"/>
                <w:b w:val="1"/>
                <w:bCs w:val="1"/>
                <w:color w:val="auto"/>
              </w:rPr>
              <w:t>Income on Derivative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90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(a)</w:t>
            </w: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$ 10,462</w:t>
            </w: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9,266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Cost of installations and service (a)</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0"/>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4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Delivery and branch expenses (a)</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1,634</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34"/>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(Increase) / decrease in the fair value of derivative instruments (b)</w:t>
            </w:r>
          </w:p>
        </w:tc>
        <w:tc>
          <w:tcPr>
            <w:tcW w:w="7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2,755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25,113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hanging="572"/>
        <w:spacing w:after="0"/>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realized closed positions and includes the cost of options as they expire.</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value of unrealized open positions and expired options.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21" w:lineRule="exact"/>
        <w:rPr>
          <w:sz w:val="20"/>
          <w:szCs w:val="20"/>
          <w:color w:val="auto"/>
        </w:rPr>
      </w:pPr>
    </w:p>
    <w:p>
      <w:pPr>
        <w:jc w:val="both"/>
        <w:ind w:right="360" w:firstLine="589"/>
        <w:spacing w:after="0" w:line="266" w:lineRule="auto"/>
        <w:rPr>
          <w:sz w:val="20"/>
          <w:szCs w:val="20"/>
          <w:color w:val="auto"/>
        </w:rPr>
      </w:pPr>
      <w:r>
        <w:rPr>
          <w:rFonts w:ascii="Times New Roman" w:cs="Times New Roman" w:eastAsia="Times New Roman" w:hAnsi="Times New Roman"/>
          <w:sz w:val="18"/>
          <w:szCs w:val="18"/>
          <w:color w:val="auto"/>
        </w:rPr>
        <w:t>The Company’s product inventories are stated at the lower of cost and net realizable value computed on the weighted average cost method. All other inventories, representing parts and equipment are stated at the lower of cost and net realizable value using the FIFO method. The components of inventory were as follows (in thousands):</w:t>
      </w:r>
    </w:p>
    <w:p>
      <w:pPr>
        <w:spacing w:after="0" w:line="27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5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43,536</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Parts and equipment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8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64,788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89"/>
        <w:spacing w:after="0" w:line="282" w:lineRule="auto"/>
        <w:rPr>
          <w:sz w:val="20"/>
          <w:szCs w:val="20"/>
          <w:color w:val="auto"/>
        </w:rPr>
      </w:pPr>
      <w:r>
        <w:rPr>
          <w:rFonts w:ascii="Times New Roman" w:cs="Times New Roman" w:eastAsia="Times New Roman" w:hAnsi="Times New Roman"/>
          <w:sz w:val="18"/>
          <w:szCs w:val="18"/>
          <w:color w:val="auto"/>
        </w:rPr>
        <w:t>Product inventories were comprised of 26.9 million gallons and 22.8 million gallons on September 30, 2020 and September 30, 2019, respectively. The Company has market price based product supply contracts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right="60"/>
        <w:spacing w:after="0" w:line="282" w:lineRule="auto"/>
        <w:rPr>
          <w:sz w:val="20"/>
          <w:szCs w:val="20"/>
          <w:color w:val="auto"/>
        </w:rPr>
      </w:pPr>
      <w:r>
        <w:rPr>
          <w:rFonts w:ascii="Times New Roman" w:cs="Times New Roman" w:eastAsia="Times New Roman" w:hAnsi="Times New Roman"/>
          <w:sz w:val="18"/>
          <w:szCs w:val="18"/>
          <w:color w:val="auto"/>
        </w:rPr>
        <w:t>approximately 240.5 million gallons of home heating oil and propane, and 44.2 million gallons of diesel and gasoline, which it expects to fully utilize to meet its requirements over the next twelve months.</w:t>
      </w:r>
    </w:p>
    <w:p>
      <w:pPr>
        <w:spacing w:after="0" w:line="162" w:lineRule="exact"/>
        <w:rPr>
          <w:sz w:val="20"/>
          <w:szCs w:val="20"/>
          <w:color w:val="auto"/>
        </w:rPr>
      </w:pPr>
    </w:p>
    <w:p>
      <w:pPr>
        <w:ind w:right="440" w:firstLine="589"/>
        <w:spacing w:after="0" w:line="282" w:lineRule="auto"/>
        <w:rPr>
          <w:sz w:val="20"/>
          <w:szCs w:val="20"/>
          <w:color w:val="auto"/>
        </w:rPr>
      </w:pPr>
      <w:r>
        <w:rPr>
          <w:rFonts w:ascii="Times New Roman" w:cs="Times New Roman" w:eastAsia="Times New Roman" w:hAnsi="Times New Roman"/>
          <w:sz w:val="18"/>
          <w:szCs w:val="18"/>
          <w:color w:val="auto"/>
        </w:rPr>
        <w:t>During fiscal 2020, Shell Oil Company, Motiva Enterprises LLC and Global Companies LLC provided approximately 13%, 12% and 11% respectively, of our petroleum product purchases. No single supplier provided more than 10% of our product supply during fiscal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property and equipment were as follows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40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37,443</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Fleet and other equipment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73,440</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Tanks and equipment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50,353</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48,582</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230,690</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132,451</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98,239</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$15.0 million, $13.5 million, and $12.0 million, for the fiscal years ended September 30, 2020, 2019 and 2018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Combinations</w:t>
      </w:r>
    </w:p>
    <w:p>
      <w:pPr>
        <w:spacing w:after="0" w:line="148" w:lineRule="exact"/>
        <w:rPr>
          <w:sz w:val="20"/>
          <w:szCs w:val="20"/>
          <w:color w:val="auto"/>
        </w:rPr>
      </w:pPr>
    </w:p>
    <w:p>
      <w:pPr>
        <w:ind w:right="20" w:firstLine="643"/>
        <w:spacing w:after="0" w:line="277" w:lineRule="auto"/>
        <w:rPr>
          <w:sz w:val="20"/>
          <w:szCs w:val="20"/>
          <w:color w:val="auto"/>
        </w:rPr>
      </w:pPr>
      <w:r>
        <w:rPr>
          <w:rFonts w:ascii="Times New Roman" w:cs="Times New Roman" w:eastAsia="Times New Roman" w:hAnsi="Times New Roman"/>
          <w:sz w:val="17"/>
          <w:szCs w:val="17"/>
          <w:color w:val="auto"/>
        </w:rPr>
        <w:t>During fiscal 2020, the Company acquired two heating oil dealers for approximately $3.3 million; $3.0 million in cash and $0.3 million of deferred liabilities. The gross purchase price was allocated $3.2 million to intangible assets, $0.6 million to fixed assets and reduced by $0.5 million in working capital credits. The acquired companies’ operating results are included in the Company’s consolidated financial statements starting on their respective acquisition date, and are not material to the Company’s financial condition, results of operations, or cash flows. The Company also completed the purchase of fixed assets related to a fiscal 2019 acquisition of a heating oil dealer for an aggregate purchase price of approximately $1.2 million.</w:t>
      </w:r>
    </w:p>
    <w:p>
      <w:pPr>
        <w:spacing w:after="0" w:line="60" w:lineRule="exact"/>
        <w:rPr>
          <w:sz w:val="20"/>
          <w:szCs w:val="20"/>
          <w:color w:val="auto"/>
        </w:rPr>
      </w:pPr>
    </w:p>
    <w:p>
      <w:pPr>
        <w:jc w:val="both"/>
        <w:ind w:right="160" w:firstLine="589"/>
        <w:spacing w:after="0" w:line="266" w:lineRule="auto"/>
        <w:rPr>
          <w:sz w:val="20"/>
          <w:szCs w:val="20"/>
          <w:color w:val="auto"/>
        </w:rPr>
      </w:pPr>
      <w:r>
        <w:rPr>
          <w:rFonts w:ascii="Times New Roman" w:cs="Times New Roman" w:eastAsia="Times New Roman" w:hAnsi="Times New Roman"/>
          <w:sz w:val="18"/>
          <w:szCs w:val="18"/>
          <w:color w:val="auto"/>
        </w:rPr>
        <w:t>During fiscal 2019, the Company acquired one of its subcontractors, a liquid product dealer and the assets of a propane dealer for an aggregate purchase price of approximately $60.9 million. The following table summarizes the final fair values and purchase price allocations in aggregate of the assets acquired and liabilities assumed related to the fiscal 2019 acquisitions as of the respective acquisition dates.</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98" w:name="page99"/>
    <w:bookmarkEnd w:id="98"/>
    <w:tbl>
      <w:tblPr>
        <w:tblLayout w:type="fixed"/>
        <w:tblInd w:w="2260" w:type="dxa"/>
        <w:tblCellMar>
          <w:top w:w="0" w:type="dxa"/>
          <w:left w:w="0" w:type="dxa"/>
          <w:bottom w:w="0" w:type="dxa"/>
          <w:right w:w="0" w:type="dxa"/>
        </w:tblCellMar>
      </w:tblPr>
      <w:tr>
        <w:trPr>
          <w:trHeight w:val="181"/>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0" w:type="dxa"/>
            <w:vAlign w:val="bottom"/>
          </w:tcPr>
          <w:p>
            <w:pPr>
              <w:spacing w:after="0"/>
              <w:rPr>
                <w:sz w:val="1"/>
                <w:szCs w:val="1"/>
                <w:color w:val="auto"/>
              </w:rPr>
            </w:pPr>
          </w:p>
        </w:tc>
      </w:tr>
      <w:tr>
        <w:trPr>
          <w:trHeight w:val="21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w:t>
            </w:r>
          </w:p>
        </w:tc>
        <w:tc>
          <w:tcPr>
            <w:tcW w:w="6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Unearned service contract revenue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credit balances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identifiable assets acquired</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8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Total net identifiable assets acquired</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4494530</wp:posOffset>
            </wp:positionH>
            <wp:positionV relativeFrom="page">
              <wp:posOffset>88900</wp:posOffset>
            </wp:positionV>
            <wp:extent cx="13716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right="240" w:firstLine="769"/>
        <w:spacing w:after="0" w:line="258" w:lineRule="auto"/>
        <w:rPr>
          <w:sz w:val="20"/>
          <w:szCs w:val="20"/>
          <w:color w:val="auto"/>
        </w:rPr>
      </w:pPr>
      <w:r>
        <w:rPr>
          <w:rFonts w:ascii="Times New Roman" w:cs="Times New Roman" w:eastAsia="Times New Roman" w:hAnsi="Times New Roman"/>
          <w:sz w:val="18"/>
          <w:szCs w:val="18"/>
          <w:color w:val="auto"/>
        </w:rPr>
        <w:t>During fiscal 2018, the Company acquired five heating oil dealers and one motor fuel dealer for an aggregate purchase price of approximately $25.2 million; $23.7 million in cash and $1.5 million of deferred liabilities. The gross purchase price was allocated $15.3 million to intangible assets, $7.5 million to fixed assets and $2.4 million to working capital. The acquired companies’ operating results are included in the Company’s consolidated financial statements starting on their respective acquisition date, and are not material to the Company’s financial condition, results of operations, or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Other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changes in the Company’s goodwill during the fiscal years ended September 30, 2020 and 2019 are as follows (in thousands):</w:t>
      </w:r>
    </w:p>
    <w:p>
      <w:pPr>
        <w:sectPr>
          <w:pgSz w:w="11900" w:h="16838" w:orient="portrait"/>
          <w:cols w:equalWidth="0" w:num="1">
            <w:col w:w="11240"/>
          </w:cols>
          <w:pgMar w:left="320" w:top="195" w:right="339" w:bottom="1440" w:gutter="0" w:footer="0" w:header="0"/>
        </w:sectPr>
      </w:pPr>
    </w:p>
    <w:p>
      <w:pPr>
        <w:spacing w:after="0" w:line="2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Fiscal year 2019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September 30, 2019</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Fiscal year 2020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Goodwill included within assets held for sale</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September 30, 2020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net</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Intangible assets subject to amortization consist of the following (in thousands):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583" w:hanging="583"/>
        <w:spacing w:after="0"/>
        <w:tabs>
          <w:tab w:leader="none" w:pos="5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228,436</w:t>
      </w:r>
    </w:p>
    <w:p>
      <w:pPr>
        <w:spacing w:after="0" w:line="27" w:lineRule="exact"/>
        <w:rPr>
          <w:rFonts w:ascii="Times New Roman" w:cs="Times New Roman" w:eastAsia="Times New Roman" w:hAnsi="Times New Roman"/>
          <w:sz w:val="18"/>
          <w:szCs w:val="18"/>
          <w:color w:val="auto"/>
        </w:rPr>
      </w:pPr>
    </w:p>
    <w:p>
      <w:pPr>
        <w:ind w:left="6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16,138</w:t>
      </w:r>
    </w:p>
    <w:p>
      <w:pPr>
        <w:spacing w:after="0" w:line="3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8"/>
          <w:szCs w:val="18"/>
          <w:color w:val="auto"/>
        </w:rPr>
        <w:t>244,574</w:t>
      </w:r>
    </w:p>
    <w:p>
      <w:pPr>
        <w:spacing w:after="0" w:line="27" w:lineRule="exact"/>
        <w:rPr>
          <w:sz w:val="20"/>
          <w:szCs w:val="20"/>
          <w:color w:val="auto"/>
        </w:rPr>
      </w:pPr>
    </w:p>
    <w:p>
      <w:pPr>
        <w:ind w:left="883"/>
        <w:spacing w:after="0"/>
        <w:rPr>
          <w:sz w:val="20"/>
          <w:szCs w:val="20"/>
          <w:color w:val="auto"/>
        </w:rPr>
      </w:pPr>
      <w:r>
        <w:rPr>
          <w:rFonts w:ascii="Times New Roman" w:cs="Times New Roman" w:eastAsia="Times New Roman" w:hAnsi="Times New Roman"/>
          <w:sz w:val="18"/>
          <w:szCs w:val="18"/>
          <w:color w:val="auto"/>
        </w:rPr>
        <w:t>184</w:t>
      </w:r>
    </w:p>
    <w:p>
      <w:pPr>
        <w:spacing w:after="0" w:line="23"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(4,431)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46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1" w:lineRule="exact"/>
        <w:rPr>
          <w:sz w:val="20"/>
          <w:szCs w:val="20"/>
          <w:color w:val="auto"/>
        </w:rPr>
      </w:pPr>
    </w:p>
    <w:p>
      <w:pPr>
        <w:ind w:left="583" w:hanging="583"/>
        <w:spacing w:after="0"/>
        <w:tabs>
          <w:tab w:leader="none" w:pos="5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46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7461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876" w:lineRule="exact"/>
        <w:rPr>
          <w:sz w:val="20"/>
          <w:szCs w:val="20"/>
          <w:color w:val="auto"/>
        </w:rPr>
      </w:pPr>
    </w:p>
    <w:p>
      <w:pPr>
        <w:sectPr>
          <w:pgSz w:w="11900" w:h="16838" w:orient="portrait"/>
          <w:cols w:equalWidth="0" w:num="2">
            <w:col w:w="7017" w:space="720"/>
            <w:col w:w="3503"/>
          </w:cols>
          <w:pgMar w:left="320" w:top="195" w:right="3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4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312,928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70,014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382,373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297,221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Trade names and other intangibles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12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420,324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330,031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420,112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312,424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107,688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F-27</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95" w:right="339" w:bottom="1440" w:gutter="0" w:footer="0" w:header="0"/>
          <w:type w:val="continuous"/>
        </w:sectPr>
      </w:pPr>
    </w:p>
    <w:bookmarkStart w:id="99" w:name="page100"/>
    <w:bookmarkEnd w:id="99"/>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$19.6 million, $19.4 million, and $19.6 million, for the fiscal years ended September 30, 2020, 2019, and 2018, respectively. Total estimated annual amortization expense related to intangible assets subject to amortization, for the year ended September 30, 2021 and the four succeeding fiscal years ended September 30, is as follows (in thousands):</w:t>
      </w:r>
    </w:p>
    <w:p>
      <w:pPr>
        <w:spacing w:after="0" w:line="277"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2920" w:type="dxa"/>
            <w:vAlign w:val="bottom"/>
            <w:tcBorders>
              <w:top w:val="single" w:sz="8" w:color="CFF0FC"/>
            </w:tcBorders>
            <w:shd w:val="clear" w:color="auto" w:fill="CFF0FC"/>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2021</w:t>
            </w:r>
          </w:p>
        </w:tc>
        <w:tc>
          <w:tcPr>
            <w:tcW w:w="25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9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2022</w:t>
            </w:r>
          </w:p>
        </w:tc>
        <w:tc>
          <w:tcPr>
            <w:tcW w:w="27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60" w:type="dxa"/>
            <w:vAlign w:val="bottom"/>
          </w:tcPr>
          <w:p>
            <w:pPr>
              <w:spacing w:after="0"/>
              <w:rPr>
                <w:sz w:val="19"/>
                <w:szCs w:val="19"/>
                <w:color w:val="auto"/>
              </w:rPr>
            </w:pPr>
          </w:p>
        </w:tc>
      </w:tr>
      <w:tr>
        <w:trPr>
          <w:trHeight w:val="229"/>
        </w:trPr>
        <w:tc>
          <w:tcPr>
            <w:tcW w:w="2920" w:type="dxa"/>
            <w:vAlign w:val="bottom"/>
            <w:shd w:val="clear" w:color="auto" w:fill="CFF0FC"/>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2023</w:t>
            </w:r>
          </w:p>
        </w:tc>
        <w:tc>
          <w:tcPr>
            <w:tcW w:w="27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60" w:type="dxa"/>
            <w:vAlign w:val="bottom"/>
            <w:shd w:val="clear" w:color="auto" w:fill="CFF0FC"/>
          </w:tcPr>
          <w:p>
            <w:pPr>
              <w:spacing w:after="0"/>
              <w:rPr>
                <w:sz w:val="19"/>
                <w:szCs w:val="19"/>
                <w:color w:val="auto"/>
              </w:rPr>
            </w:pPr>
          </w:p>
        </w:tc>
      </w:tr>
      <w:tr>
        <w:trPr>
          <w:trHeight w:val="229"/>
        </w:trPr>
        <w:tc>
          <w:tcPr>
            <w:tcW w:w="29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2024</w:t>
            </w:r>
          </w:p>
        </w:tc>
        <w:tc>
          <w:tcPr>
            <w:tcW w:w="27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60" w:type="dxa"/>
            <w:vAlign w:val="bottom"/>
          </w:tcPr>
          <w:p>
            <w:pPr>
              <w:spacing w:after="0"/>
              <w:rPr>
                <w:sz w:val="19"/>
                <w:szCs w:val="19"/>
                <w:color w:val="auto"/>
              </w:rPr>
            </w:pPr>
          </w:p>
        </w:tc>
      </w:tr>
      <w:tr>
        <w:trPr>
          <w:trHeight w:val="230"/>
        </w:trPr>
        <w:tc>
          <w:tcPr>
            <w:tcW w:w="2920" w:type="dxa"/>
            <w:vAlign w:val="bottom"/>
            <w:shd w:val="clear" w:color="auto" w:fill="CFF0FC"/>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2025</w:t>
            </w:r>
          </w:p>
        </w:tc>
        <w:tc>
          <w:tcPr>
            <w:tcW w:w="27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60" w:type="dxa"/>
            <w:vAlign w:val="bottom"/>
            <w:shd w:val="clear" w:color="auto" w:fill="CFF0FC"/>
          </w:tcPr>
          <w:p>
            <w:pPr>
              <w:spacing w:after="0"/>
              <w:rPr>
                <w:sz w:val="19"/>
                <w:szCs w:val="19"/>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were as follows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81,443</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 and other 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120,839</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 and Bank Facility Borrowings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debt is as follows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7"/>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160" w:type="dxa"/>
            <w:vAlign w:val="bottom"/>
          </w:tcPr>
          <w:p>
            <w:pPr>
              <w:spacing w:after="0"/>
              <w:rPr>
                <w:sz w:val="15"/>
                <w:szCs w:val="15"/>
                <w:color w:val="auto"/>
              </w:rPr>
            </w:pPr>
          </w:p>
        </w:tc>
        <w:tc>
          <w:tcPr>
            <w:tcW w:w="8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Senior Secured Term Loan (b)</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short-term portion of debt (c)</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portion of debt (c)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109,805</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hanging="432"/>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the Company’s variable rate long-term debt approximates fair value.</w:t>
      </w:r>
    </w:p>
    <w:p>
      <w:pPr>
        <w:spacing w:after="0" w:line="27" w:lineRule="exact"/>
        <w:rPr>
          <w:rFonts w:ascii="Times New Roman" w:cs="Times New Roman" w:eastAsia="Times New Roman" w:hAnsi="Times New Roman"/>
          <w:sz w:val="18"/>
          <w:szCs w:val="18"/>
          <w:color w:val="auto"/>
        </w:rPr>
      </w:pPr>
    </w:p>
    <w:p>
      <w:pPr>
        <w:ind w:left="1020" w:hanging="432"/>
        <w:spacing w:after="0" w:line="250"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are net of unamortized debt issuance costs of $0.7 million as of September 30, 2020 and $0.6 million as of September 30, 2019.</w:t>
      </w:r>
    </w:p>
    <w:p>
      <w:pPr>
        <w:ind w:left="1020" w:right="40" w:hanging="432"/>
        <w:spacing w:after="0" w:line="253"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2019, the Company refinanced its five-year term loan and the revolving credit facility with the execution of the fifth amended and restated revolving credit facility agreement. As of September 30, 2019, the Company has classified $37.5 million of its revolving credit facility borrowings as long term debt and repaid it on December 4, 2019 using proceeds provided by the fifth amended and restated revolving credit facility agreement.</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0" w:name="page101"/>
    <w:bookmarkEnd w:id="100"/>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On December 4, 2019, the Company refinanced its five-year term loan and the revolving credit facility with the execution of the fifth amended and restated revolving credit facility agreement (the “credit agreement”) with a bank syndicate comprised of eleven participants, which enables the Company to borrow up to $300 million ($450 million during the heating season of December through April of each year) on a revolving credit facility for working capital purposes (subject to certain borrowing base limitations and coverage ratios), provides for a $130 million five-year senior secured term loan (“Term Loan”), allows for the issuance of up to $25 million in letters of credit, and has a maturity date of December 4, 2024.</w:t>
      </w:r>
    </w:p>
    <w:p>
      <w:pPr>
        <w:spacing w:after="0" w:line="183"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The Company can increase the revolving credit facility size by $200 million without the consent of the bank group. However, the bank group is not obligated to fund the $200 million increase. If the bank group elects not to fund the increase, the Company can add additional lenders to the group, with the consent of the Agent, which shall not be unreasonably withheld. Obligations under the credit agreement are guaranteed by the Company and its subsidiaries and are secured by liens on substantially all of the Company’s assets including accounts receivable, inventory, general intangibles, real property, fixtures and equipment.</w:t>
      </w:r>
    </w:p>
    <w:p>
      <w:pPr>
        <w:spacing w:after="0" w:line="183"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All amounts outstanding under the credit agreement become due and payable on the facility termination date of December 4, 2024. The Term Loan is repayable in quarterly payments of $3.25 million, the first of which was made on April 1, 2020, plus an annual payment equal to 25% of the annual Excess Cash Flow as defined in the credit agreement (an amount not to exceed $12 million annually), less certain voluntary prepayments made during the year, with final payment at maturity. On November 5, 2020, the Company obtained a waiver from the bank group that waived the Excess Cash Flow payment for the fiscal year ended September 30, 2020.</w:t>
      </w:r>
    </w:p>
    <w:p>
      <w:pPr>
        <w:spacing w:after="0" w:line="183"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The interest rate on the revolving credit facility and the term loan is based on a margin over LIBOR or a base rate. At September 30, 2020, the effective interest rate on the term loan and revolving credit facility borrowings was approximately 5.2% and 4.0%, respectively. At September 30, 2019, the effective interest rate on the term loan and revolving credit facility borrowings was approximately 5.9% and 4.6%, respectively.</w:t>
      </w:r>
    </w:p>
    <w:p>
      <w:pPr>
        <w:spacing w:after="0" w:line="176"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The Commitment Fee on the unused portion of the revolving credit facility is 0.30% from December through April, and 0.20% from May through November.</w:t>
      </w:r>
    </w:p>
    <w:p>
      <w:pPr>
        <w:spacing w:after="0" w:line="162" w:lineRule="exact"/>
        <w:rPr>
          <w:sz w:val="20"/>
          <w:szCs w:val="20"/>
          <w:color w:val="auto"/>
        </w:rPr>
      </w:pPr>
    </w:p>
    <w:p>
      <w:pPr>
        <w:ind w:right="280" w:firstLine="589"/>
        <w:spacing w:after="0" w:line="261" w:lineRule="auto"/>
        <w:rPr>
          <w:sz w:val="20"/>
          <w:szCs w:val="20"/>
          <w:color w:val="auto"/>
        </w:rPr>
      </w:pPr>
      <w:r>
        <w:rPr>
          <w:rFonts w:ascii="Times New Roman" w:cs="Times New Roman" w:eastAsia="Times New Roman" w:hAnsi="Times New Roman"/>
          <w:sz w:val="18"/>
          <w:szCs w:val="18"/>
          <w:color w:val="auto"/>
        </w:rPr>
        <w:t>The credit agreement requires the Company to meet certain financial covenants, including a fixed charge coverage ratio (as defined in the credit agreement) of not less than 1.1 as long as the Term Loan is outstanding or revolving credit facility availability is less than 12.5% of the facility size. In addition, as long as the Term Loan is outstanding, a senior secured leverage ratio cannot be more than 3.0 as calculated as of the quarters ending June or September, and no more than 4.5 as calculated as of the quarters ending December or March.</w:t>
      </w:r>
    </w:p>
    <w:p>
      <w:pPr>
        <w:spacing w:after="0" w:line="180" w:lineRule="exact"/>
        <w:rPr>
          <w:sz w:val="20"/>
          <w:szCs w:val="20"/>
          <w:color w:val="auto"/>
        </w:rPr>
      </w:pPr>
    </w:p>
    <w:p>
      <w:pPr>
        <w:jc w:val="both"/>
        <w:ind w:right="220" w:firstLine="589"/>
        <w:spacing w:after="0" w:line="266" w:lineRule="auto"/>
        <w:rPr>
          <w:sz w:val="20"/>
          <w:szCs w:val="20"/>
          <w:color w:val="auto"/>
        </w:rPr>
      </w:pPr>
      <w:r>
        <w:rPr>
          <w:rFonts w:ascii="Times New Roman" w:cs="Times New Roman" w:eastAsia="Times New Roman" w:hAnsi="Times New Roman"/>
          <w:sz w:val="18"/>
          <w:szCs w:val="18"/>
          <w:color w:val="auto"/>
        </w:rPr>
        <w:t>Certain restrictions are also imposed by the credit agreement, including restrictions on the Company’s ability to incur additional indebtedness, to pay distributions to unitholders, to pay certain inter-company dividends or distributions, make investments, grant liens, sell assets, make acquisitions and engage in certain other activities.</w:t>
      </w:r>
    </w:p>
    <w:p>
      <w:pPr>
        <w:spacing w:after="0" w:line="176"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At September 30, 2020, $123.5 million of the term loan was outstanding, no amount was outstanding under the revolving credit facility, $11.1 million hedge positions were secured under the credit agreement and $3.5 million of letters of credit were issued and outstanding. At September 30, 2019, $92.5 million of the term loan was outstanding, $61.5 million amount was outstanding under the revolving credit facility, $7.7 million hedge positions were secured under the fourth amended and restated credit agreement and $4.6 million of letters of credit were issued and outstanding.</w:t>
      </w:r>
    </w:p>
    <w:p>
      <w:pPr>
        <w:spacing w:after="0" w:line="180"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At September 30, 2020, availability was $203.4 million, the Company was in compliance with the fixed charge coverage ratio and the senior secured leverage ratio, and the restricted net assets totaled approximately $245.8 million. Restricted net assets are assets in the Company’s subsidiaries, the distribution or transfer of which to Star Group, L.P. are subject to limitations under its credit agreement. At September 30, 2019, availability was $126.1 million, the Company was in compliance with the fixed charge coverage ratio and the senior secured leverage ratio, and the restricted net assets totaled approximately $250.9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As of September 30, 2020, the maturities (including working capital borrowings and expected repayments due to Excess Cash Flow) during fiscal years ending September 30, considering the terms of our credit agreement, are set forth in the following table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7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7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7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71,500</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Contribution Plans</w:t>
      </w:r>
    </w:p>
    <w:p>
      <w:pPr>
        <w:spacing w:after="0" w:line="117"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The Company has several 401(k) and other defined contribution plans that cover eligible non-union and union employees, and makes employer contributions to these plans, subject to IRS limitations. These plans provide for each participant to contribute from 0% to 60% of compensation, subject to IRS limitations. The Company’s aggregate contributions to the 401(k) plans during fiscal 2020, 2019, and 2018, were $7.9 million, $7.6 million, and $6.7 million, respectively. The Company’s aggregate contribution to the other defined contribution plans for fiscal years 2020, 2019, and 2018, were $0.6 million, $0.6 million, and $0.6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Incentive Compensation Plan</w:t>
      </w:r>
    </w:p>
    <w:p>
      <w:pPr>
        <w:spacing w:after="0" w:line="117"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The Company has a Management Incentive Compensation Plan (“the Plan”). The long-term compensation structure is intended to align the employee’s performance with the long-term performance of our unitholders. Under the Plan, certain named employees who participate shall be entitled to receive a pro rata share of an amount in cash equal to:</w:t>
      </w:r>
    </w:p>
    <w:p>
      <w:pPr>
        <w:spacing w:after="0" w:line="68" w:lineRule="exact"/>
        <w:rPr>
          <w:sz w:val="20"/>
          <w:szCs w:val="20"/>
          <w:color w:val="auto"/>
        </w:rPr>
      </w:pPr>
    </w:p>
    <w:p>
      <w:pPr>
        <w:ind w:left="1020" w:right="260" w:hanging="432"/>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distributions (“Incentive Distributions”) of Available Cash in excess of the minimum quarterly distribution of $0.0675 per unit otherwise distributable to Kestrel Heat pursuant to the Company Agreement on account of its general partner units; and</w:t>
      </w:r>
    </w:p>
    <w:p>
      <w:pPr>
        <w:spacing w:after="0" w:line="53" w:lineRule="exact"/>
        <w:rPr>
          <w:rFonts w:ascii="Times New Roman" w:cs="Times New Roman" w:eastAsia="Times New Roman" w:hAnsi="Times New Roman"/>
          <w:sz w:val="18"/>
          <w:szCs w:val="18"/>
          <w:color w:val="auto"/>
        </w:rPr>
      </w:pPr>
    </w:p>
    <w:p>
      <w:pPr>
        <w:ind w:left="1020" w:right="180" w:hanging="432"/>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cash proceeds (the “Gains Interest”) which Kestrel Heat shall receive from the sale of its general partner units (as defined in the Partnership Agreement), less expenses and applicable taxes.</w:t>
      </w:r>
    </w:p>
    <w:p>
      <w:pPr>
        <w:spacing w:after="0" w:line="162" w:lineRule="exact"/>
        <w:rPr>
          <w:sz w:val="20"/>
          <w:szCs w:val="20"/>
          <w:color w:val="auto"/>
        </w:rPr>
      </w:pPr>
    </w:p>
    <w:p>
      <w:pPr>
        <w:jc w:val="both"/>
        <w:ind w:right="580" w:firstLine="589"/>
        <w:spacing w:after="0" w:line="266" w:lineRule="auto"/>
        <w:rPr>
          <w:sz w:val="20"/>
          <w:szCs w:val="20"/>
          <w:color w:val="auto"/>
        </w:rPr>
      </w:pPr>
      <w:r>
        <w:rPr>
          <w:rFonts w:ascii="Times New Roman" w:cs="Times New Roman" w:eastAsia="Times New Roman" w:hAnsi="Times New Roman"/>
          <w:sz w:val="18"/>
          <w:szCs w:val="18"/>
          <w:color w:val="auto"/>
        </w:rPr>
        <w:t>The pro rata share payable to each participant under the Plan is based on the number of participation points as described under “Fiscal 2020 Compensation Decisions—Management Incentive Compensation Plan.” The amount paid in Incentive Distributions is governed by the Partnership Agreement and the calculation of Available Cash.</w:t>
      </w:r>
    </w:p>
    <w:p>
      <w:pPr>
        <w:spacing w:after="0" w:line="176"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To fund the benefits under the Plan, Kestrel Heat has agreed to forego receipt of the amount of Incentive Distributions that are payable to plan participants. For accounting purposes, amounts payable to management under this Plan will be treated as compensation and will reduce net income. Kestrel Heat has also agreed to contribute to the Company, as a contribution to capital, an amount equal to the Gains Interest payable to participants in the Plan by the Company. The Company is not required to reimburse Kestrel Heat for amounts payable pursuant to the Plan.</w:t>
      </w:r>
    </w:p>
    <w:p>
      <w:pPr>
        <w:spacing w:after="0" w:line="180"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The Plan is administered by the Company’s Chief Financial Officer under the direction of the Board or by such other officer as the Board may from time to time direct. In general, no payments will be made under the Plan if the Company is not distributing cash under the Incentive Distributions described above.</w:t>
      </w:r>
    </w:p>
    <w:p>
      <w:pPr>
        <w:spacing w:after="0" w:line="176"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In fiscal 2012, the Board of Directors adopted certain amendments (the “Plan Amendments”) to the Plan. Under the Plan Amendments, the number and identity of the Plan participants and their participation interests in the Plan have been frozen at the current levels. In addition, under the Plan Amendments, the plan benefits (to the extent vested) may be transferred upon the death of a participant to his or her heirs. A participant’s vested percentage of his or her plan benefits will be 100% during the time a participant is an employee or consultant of the Company. Following the termination of such positions, a participant’s vested percentage is equal to 20% for each full or partial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2" w:name="page103"/>
    <w:bookmarkEnd w:id="102"/>
    <w:p>
      <w:pPr>
        <w:ind w:right="40"/>
        <w:spacing w:after="0" w:line="282" w:lineRule="auto"/>
        <w:rPr>
          <w:sz w:val="20"/>
          <w:szCs w:val="20"/>
          <w:color w:val="auto"/>
        </w:rPr>
      </w:pPr>
      <w:r>
        <w:rPr>
          <w:rFonts w:ascii="Times New Roman" w:cs="Times New Roman" w:eastAsia="Times New Roman" w:hAnsi="Times New Roman"/>
          <w:sz w:val="18"/>
          <w:szCs w:val="18"/>
          <w:color w:val="auto"/>
        </w:rPr>
        <w:t>year of employment or consultation with the Company starting with the fiscal year ended September 30, 2012 (33 1/3% in the case of the Company’s chief executive officer at that time).</w:t>
      </w:r>
    </w:p>
    <w:p>
      <w:pPr>
        <w:spacing w:after="0" w:line="162"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The Company distributed to management and the general partner Incentive Distributions of approximately $1,654,000 during fiscal 2020, $1,464,000 during fiscal 2019, and $1,199,000 during fiscal 2018. Included in these amounts for fiscal 2020, 2019, and 2018, were distributions under the management incentive compensation plan of $827,000, $732,000, and $600,000, respectively, of which named executive officers received approximately $349,494 during fiscal 2020, $397,430 during fiscal 2019, and $267,082 during fiscal 2018. With regard to the Gains Interest, Kestrel Heat has not given any indication that it will sell its general partner units within the next twelve months. Thus the Plan’s value attributable to the Gains Interest currently cannot be determined.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Multiemployer Pension Plans</w:t>
      </w:r>
    </w:p>
    <w:p>
      <w:pPr>
        <w:spacing w:after="0" w:line="117" w:lineRule="exact"/>
        <w:rPr>
          <w:sz w:val="20"/>
          <w:szCs w:val="20"/>
          <w:color w:val="auto"/>
        </w:rPr>
      </w:pPr>
    </w:p>
    <w:p>
      <w:pPr>
        <w:ind w:right="80" w:firstLine="589"/>
        <w:spacing w:after="0" w:line="255" w:lineRule="auto"/>
        <w:rPr>
          <w:sz w:val="20"/>
          <w:szCs w:val="20"/>
          <w:color w:val="auto"/>
        </w:rPr>
      </w:pPr>
      <w:r>
        <w:rPr>
          <w:rFonts w:ascii="Times New Roman" w:cs="Times New Roman" w:eastAsia="Times New Roman" w:hAnsi="Times New Roman"/>
          <w:sz w:val="18"/>
          <w:szCs w:val="18"/>
          <w:color w:val="auto"/>
        </w:rPr>
        <w:t>At September 30, 2020, approximately 44% of our employees were covered by collective bargaining agreements and approximately 8% of our employees are in collective bargaining agreements that are up for renewal within the next fiscal year. We contribute to various multiemployer union administered pension plans under the terms of collective bargaining agreements that provide for such plans for covered union-represented employees. The risks of participating in these multiemployer plans are different from single-employer plans in that assets contributed are pooled and may be used to provide benefits to employees of other participating employers. If a participating employer stops contributing to the plan, the remaining participating employers may be required to bear the unfunded obligations of the plan. If we choose to stop participating in a multiemployer plan, we may be required to pay a withdrawal liability in part based on the underfunded status of the plan.</w:t>
      </w:r>
    </w:p>
    <w:p>
      <w:pPr>
        <w:spacing w:after="0" w:line="189"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The following table outlines our participation and contributions to multiemployer pension plans for the periods ended September 30, 2020, 2019, and 2018. The EIN/Pension Plan Number column provides the Employer Identification Number (“EIN”) and the three-digit plan number. The most recent Pension Protection Act Zone Status for 2020 and 2019 relates to the plans’ two most recent fiscal year-ends, based on information received from the plans as reported on their Form 5500 Schedule MB. Among other factors, plans in the red zone are generally less than 65 percent funded and are designated as critical or critical and declining, plans in the yellow zone are less than 80 percent funded and are designated as endangered, and plans in the green zone are at least 80 percent funded. As of September 30, 2020 the New England Teamsters and Trucking Industry Pension Fund (“the NETTI Fund”), IAM National Pension, Teamsters Local 469 Pension and Local 445 Pension funds have been classified as carrying “red zone” status, meaning that the value of fund’s assets are less than 65% of the actuarial value of the fund’s benefit obligations or have made a voluntary election. The FIP/RP Status Pending/Implemented column indicates plans for which a financial improvement plan (“FIP”) or a rehabilitation plan (“RP”) is either pending or has been implemented. Certain plans have been aggregated in the All Other Multiemployer Pension Plans line of the following table, as our participation in each of these individual plans is not significant.</w:t>
      </w:r>
    </w:p>
    <w:p>
      <w:pPr>
        <w:spacing w:after="0" w:line="192" w:lineRule="exact"/>
        <w:rPr>
          <w:sz w:val="20"/>
          <w:szCs w:val="20"/>
          <w:color w:val="auto"/>
        </w:rPr>
      </w:pPr>
    </w:p>
    <w:p>
      <w:pPr>
        <w:jc w:val="both"/>
        <w:ind w:right="140" w:firstLine="589"/>
        <w:spacing w:after="0" w:line="266" w:lineRule="auto"/>
        <w:rPr>
          <w:sz w:val="20"/>
          <w:szCs w:val="20"/>
          <w:color w:val="auto"/>
        </w:rPr>
      </w:pPr>
      <w:r>
        <w:rPr>
          <w:rFonts w:ascii="Times New Roman" w:cs="Times New Roman" w:eastAsia="Times New Roman" w:hAnsi="Times New Roman"/>
          <w:sz w:val="18"/>
          <w:szCs w:val="18"/>
          <w:color w:val="auto"/>
        </w:rPr>
        <w:t>For the Westchester Teamsters Pension Fund, Local 553 Pension Fund and Local 463 Pension Fund, we provided more than 5 percent of the total plan contributions from all employers for 2020, 2019 and 2018, as disclosed in the respective plan’s Form 5500. The collective bargaining agreements of these plans require contributions based on the hours worked and there are no minimum contributions required.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Protection</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FIP / RP Status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EIN</w:t>
            </w: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2260" w:type="dxa"/>
            <w:vAlign w:val="bottom"/>
            <w:vMerge w:val="restart"/>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Pension Plan</w:t>
            </w:r>
          </w:p>
        </w:tc>
        <w:tc>
          <w:tcPr>
            <w:tcW w:w="6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Pending / Implemented</w:t>
            </w:r>
          </w:p>
        </w:tc>
        <w:tc>
          <w:tcPr>
            <w:tcW w:w="6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gridSpan w:val="2"/>
            <w:vMerge w:val="restart"/>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5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Imposed</w:t>
            </w: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Agreements</w:t>
            </w:r>
          </w:p>
        </w:tc>
        <w:tc>
          <w:tcPr>
            <w:tcW w:w="0" w:type="dxa"/>
            <w:vAlign w:val="bottom"/>
          </w:tcPr>
          <w:p>
            <w:pPr>
              <w:spacing w:after="0"/>
              <w:rPr>
                <w:sz w:val="1"/>
                <w:szCs w:val="1"/>
                <w:color w:val="auto"/>
              </w:rPr>
            </w:pPr>
          </w:p>
        </w:tc>
      </w:tr>
      <w:tr>
        <w:trPr>
          <w:trHeight w:val="194"/>
        </w:trPr>
        <w:tc>
          <w:tcPr>
            <w:tcW w:w="3120" w:type="dxa"/>
            <w:vAlign w:val="bottom"/>
            <w:tcBorders>
              <w:top w:val="single" w:sz="8" w:color="CFF0FC"/>
            </w:tcBorders>
            <w:gridSpan w:val="2"/>
            <w:shd w:val="clear" w:color="auto" w:fill="CFF0FC"/>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New England Teamsters and Trucking</w:t>
            </w:r>
          </w:p>
        </w:tc>
        <w:tc>
          <w:tcPr>
            <w:tcW w:w="1280" w:type="dxa"/>
            <w:vAlign w:val="bottom"/>
            <w:tcBorders>
              <w:top w:val="single" w:sz="8" w:color="auto"/>
            </w:tcBorders>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04-6372430</w:t>
            </w:r>
          </w:p>
        </w:tc>
        <w:tc>
          <w:tcPr>
            <w:tcW w:w="10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4/30/21 to</w:t>
            </w:r>
          </w:p>
        </w:tc>
        <w:tc>
          <w:tcPr>
            <w:tcW w:w="0" w:type="dxa"/>
            <w:vAlign w:val="bottom"/>
          </w:tcPr>
          <w:p>
            <w:pPr>
              <w:spacing w:after="0"/>
              <w:rPr>
                <w:sz w:val="1"/>
                <w:szCs w:val="1"/>
                <w:color w:val="auto"/>
              </w:rPr>
            </w:pPr>
          </w:p>
        </w:tc>
      </w:tr>
      <w:tr>
        <w:trPr>
          <w:trHeight w:val="238"/>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Industry Pension Fund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001</w:t>
            </w: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Red</w:t>
            </w:r>
          </w:p>
        </w:tc>
        <w:tc>
          <w:tcPr>
            <w:tcW w:w="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Red</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 / Implemented</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4/30/23</w:t>
            </w: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Westchester Teamsters Pension Fund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13-6123973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 to</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001</w:t>
            </w:r>
          </w:p>
        </w:tc>
        <w:tc>
          <w:tcPr>
            <w:tcW w:w="100" w:type="dxa"/>
            <w:vAlign w:val="bottom"/>
          </w:tcPr>
          <w:p>
            <w:pPr>
              <w:spacing w:after="0"/>
              <w:rPr>
                <w:sz w:val="20"/>
                <w:szCs w:val="20"/>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Green</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Green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12/31/24</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Local 553 Pension Fund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13-6637826</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12/15/22 to</w:t>
            </w:r>
          </w:p>
        </w:tc>
        <w:tc>
          <w:tcPr>
            <w:tcW w:w="0" w:type="dxa"/>
            <w:vAlign w:val="bottom"/>
          </w:tcPr>
          <w:p>
            <w:pPr>
              <w:spacing w:after="0"/>
              <w:rPr>
                <w:sz w:val="1"/>
                <w:szCs w:val="1"/>
                <w:color w:val="auto"/>
              </w:rPr>
            </w:pPr>
          </w:p>
        </w:tc>
      </w:tr>
      <w:tr>
        <w:trPr>
          <w:trHeight w:val="238"/>
        </w:trPr>
        <w:tc>
          <w:tcPr>
            <w:tcW w:w="86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001</w:t>
            </w: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Green</w:t>
            </w:r>
          </w:p>
        </w:tc>
        <w:tc>
          <w:tcPr>
            <w:tcW w:w="6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Green</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Local 463 Pension Fund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11-1800729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6/30/22 to</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001</w:t>
            </w:r>
          </w:p>
        </w:tc>
        <w:tc>
          <w:tcPr>
            <w:tcW w:w="100" w:type="dxa"/>
            <w:vAlign w:val="bottom"/>
          </w:tcPr>
          <w:p>
            <w:pPr>
              <w:spacing w:after="0"/>
              <w:rPr>
                <w:sz w:val="20"/>
                <w:szCs w:val="20"/>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Green</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Green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IAM National Pension Fund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51-6031295</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12/31/20 to</w:t>
            </w:r>
          </w:p>
        </w:tc>
        <w:tc>
          <w:tcPr>
            <w:tcW w:w="0" w:type="dxa"/>
            <w:vAlign w:val="bottom"/>
          </w:tcPr>
          <w:p>
            <w:pPr>
              <w:spacing w:after="0"/>
              <w:rPr>
                <w:sz w:val="1"/>
                <w:szCs w:val="1"/>
                <w:color w:val="auto"/>
              </w:rPr>
            </w:pPr>
          </w:p>
        </w:tc>
      </w:tr>
      <w:tr>
        <w:trPr>
          <w:trHeight w:val="238"/>
        </w:trPr>
        <w:tc>
          <w:tcPr>
            <w:tcW w:w="86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002</w:t>
            </w: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Red</w:t>
            </w:r>
          </w:p>
        </w:tc>
        <w:tc>
          <w:tcPr>
            <w:tcW w:w="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Red</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 / Implemented</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7/01/23</w:t>
            </w: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Teamsters Local 469 Pension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22-6172237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001</w:t>
            </w:r>
          </w:p>
        </w:tc>
        <w:tc>
          <w:tcPr>
            <w:tcW w:w="100" w:type="dxa"/>
            <w:vAlign w:val="bottom"/>
          </w:tcPr>
          <w:p>
            <w:pPr>
              <w:spacing w:after="0"/>
              <w:rPr>
                <w:sz w:val="20"/>
                <w:szCs w:val="20"/>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 / Implemented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8/31/21</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Local 445 Pension Fund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13-1864489</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001</w:t>
            </w: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Red</w:t>
            </w:r>
          </w:p>
        </w:tc>
        <w:tc>
          <w:tcPr>
            <w:tcW w:w="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Red</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 / Implemented</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10/31/21</w:t>
            </w: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 Multiemployer Pension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Total Contributions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with the New England Teamsters and Trucking Industry Pension Fund</w:t>
      </w:r>
    </w:p>
    <w:p>
      <w:pPr>
        <w:spacing w:after="0" w:line="117"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In fiscal 2015, the Teamsters ratified an agreement among certain subsidiaries of the Company and the NETTI Fund, a multiemployer pension plan in which such subsidiaries participate, providing for the Company’s participating subsidiaries to withdraw from the NETTI Fund’s original employer pool and enter the NETTI Fund’s new employer pool. The NETTI Fund includes over two hundred of our current employees. The withdrawal from the original employer pool triggered an undiscounted withdrawal obligation of $48.0 million that is to be paid in equal monthly installments over 30 years, or $1.6 million per year.</w:t>
      </w:r>
    </w:p>
    <w:p>
      <w:pPr>
        <w:spacing w:after="0" w:line="183"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Our status in the newly-established pool of the NETTI Fund is accounted for as participation in a new multiemployer pension plan, and therefore we recognize expense based on the contractually-required contribution for each period, and we recognize a liability for any contributions due and unpaid at the end of a reporting period.</w:t>
      </w:r>
    </w:p>
    <w:p>
      <w:pPr>
        <w:spacing w:after="0" w:line="176"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As of September 30, 2020 we had $0.2 million and $16.7 million balances included in the captions accrued expenses and other current liabilities and other long-term liabilities, respectively, on our consolidated balance sheet representing the remaining balance of the NETTI Fund withdrawal liability. Based on the borrowing rates currently available to the Company for long-term financing of a similar maturity, the fair value of the NETTI Fund withdrawal liability as of September 30, 2020 was $29.0 million. We utilized Level 2 inputs in the fair value hierarchy of valuation techniques to determine the fair value of this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Benefit Plans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has two frozen defined benefit pension plans (“the Plan”). The Company has no post-retirement benefit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4" w:name="page105"/>
    <w:bookmarkEnd w:id="104"/>
    <w:p>
      <w:pPr>
        <w:ind w:firstLine="589"/>
        <w:spacing w:after="0" w:line="258" w:lineRule="auto"/>
        <w:rPr>
          <w:sz w:val="20"/>
          <w:szCs w:val="20"/>
          <w:color w:val="auto"/>
        </w:rPr>
      </w:pPr>
      <w:r>
        <w:rPr>
          <w:rFonts w:ascii="Times New Roman" w:cs="Times New Roman" w:eastAsia="Times New Roman" w:hAnsi="Times New Roman"/>
          <w:sz w:val="18"/>
          <w:szCs w:val="18"/>
          <w:color w:val="auto"/>
        </w:rPr>
        <w:t>Effective September 30, 2020, the Company adopted the Society of Actuaries 2020 Mortality Tables Report and Improvement Scale, which updated the mortality assumptions that private defined benefit retirement plans in the United States use in the actuarial valuations that determine a plan sponsor’s pension obligations. The updated mortality data reflects decreased mortality improvement than assumed in the Society of Actuaries 2019 Mortality Table Report and Improvement Scale, and affected plans generally expect the value of the actuarial obligations to decrease, depending on the specific demographic characteristics of the plan participants and the types of benefits.</w:t>
      </w:r>
    </w:p>
    <w:p>
      <w:pPr>
        <w:spacing w:after="0" w:line="1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37" w:right="699" w:bottom="1440" w:gutter="0" w:footer="0" w:header="0"/>
        </w:sectPr>
      </w:pPr>
    </w:p>
    <w:bookmarkStart w:id="105" w:name="page106"/>
    <w:bookmarkEnd w:id="105"/>
    <w:p>
      <w:pPr>
        <w:ind w:right="520" w:firstLine="589"/>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net periodic benefit cost for the period, a reconciliation of the changes in the Plan assets, projected benefit obligations, and the amounts recognized in other comprehensive income and accumulated other comprehensive income at the dates indicated using a measurement date of September 30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Gross Pension</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Periodic</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 in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200" w:type="dxa"/>
            <w:vAlign w:val="bottom"/>
          </w:tcPr>
          <w:p>
            <w:pPr>
              <w:spacing w:after="0"/>
              <w:rPr>
                <w:sz w:val="14"/>
                <w:szCs w:val="14"/>
                <w:color w:val="auto"/>
              </w:rPr>
            </w:pPr>
          </w:p>
        </w:tc>
        <w:tc>
          <w:tcPr>
            <w:tcW w:w="1100" w:type="dxa"/>
            <w:vAlign w:val="bottom"/>
            <w:gridSpan w:val="3"/>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Comprehensive   Comprehensive</w:t>
            </w:r>
          </w:p>
        </w:tc>
        <w:tc>
          <w:tcPr>
            <w:tcW w:w="0" w:type="dxa"/>
            <w:vAlign w:val="bottom"/>
          </w:tcPr>
          <w:p>
            <w:pPr>
              <w:spacing w:after="0"/>
              <w:rPr>
                <w:sz w:val="1"/>
                <w:szCs w:val="1"/>
                <w:color w:val="auto"/>
              </w:rPr>
            </w:pPr>
          </w:p>
        </w:tc>
      </w:tr>
      <w:tr>
        <w:trPr>
          <w:trHeight w:val="160"/>
        </w:trPr>
        <w:tc>
          <w:tcPr>
            <w:tcW w:w="4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Debit / (Credit)</w:t>
            </w:r>
          </w:p>
        </w:tc>
        <w:tc>
          <w:tcPr>
            <w:tcW w:w="14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80" w:type="dxa"/>
            <w:vAlign w:val="bottom"/>
          </w:tcPr>
          <w:p>
            <w:pPr>
              <w:spacing w:after="0"/>
              <w:rPr>
                <w:sz w:val="13"/>
                <w:szCs w:val="13"/>
                <w:color w:val="auto"/>
              </w:rPr>
            </w:pPr>
          </w:p>
        </w:tc>
        <w:tc>
          <w:tcPr>
            <w:tcW w:w="1100" w:type="dxa"/>
            <w:vAlign w:val="bottom"/>
            <w:gridSpan w:val="3"/>
          </w:tcPr>
          <w:p>
            <w:pPr>
              <w:jc w:val="right"/>
              <w:ind w:right="599"/>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10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3"/>
                <w:szCs w:val="13"/>
                <w:color w:val="auto"/>
              </w:rPr>
            </w:pPr>
          </w:p>
        </w:tc>
        <w:tc>
          <w:tcPr>
            <w:tcW w:w="10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Obligation</w:t>
            </w:r>
          </w:p>
        </w:tc>
        <w:tc>
          <w:tcPr>
            <w:tcW w:w="130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0"/>
        </w:trPr>
        <w:tc>
          <w:tcPr>
            <w:tcW w:w="940" w:type="dxa"/>
            <w:vAlign w:val="bottom"/>
            <w:tcBorders>
              <w:bottom w:val="single" w:sz="8" w:color="CFF0FC"/>
            </w:tcBorders>
            <w:shd w:val="clear" w:color="auto" w:fill="000000"/>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30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Fiscal Year 2018</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CFF0FC"/>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(65,781)</w:t>
            </w: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(942)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Employer contributions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(1,653)</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Benefit payments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(4,463)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and other expenses</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Difference between actual and expected return on plan assets</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(3,705)</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Anticipated expenses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Actuarial loss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unrecognized net actuarial loss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Annual cost/change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2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2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2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61,924</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(59,542)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Funded status at the end of the year</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FF0FC"/>
            </w:tcBorders>
            <w:gridSpan w:val="3"/>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CFF0FC"/>
            </w:tcBorders>
          </w:tcPr>
          <w:p>
            <w:pPr>
              <w:spacing w:after="0"/>
              <w:rPr>
                <w:sz w:val="20"/>
                <w:szCs w:val="20"/>
                <w:color w:val="auto"/>
              </w:rPr>
            </w:pPr>
          </w:p>
        </w:tc>
        <w:tc>
          <w:tcPr>
            <w:tcW w:w="780" w:type="dxa"/>
            <w:vAlign w:val="bottom"/>
            <w:tcBorders>
              <w:top w:val="single" w:sz="8" w:color="auto"/>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880" w:type="dxa"/>
            <w:vAlign w:val="bottom"/>
            <w:tcBorders>
              <w:top w:val="single" w:sz="8" w:color="auto"/>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160" w:type="dxa"/>
            <w:vAlign w:val="bottom"/>
            <w:gridSpan w:val="3"/>
            <w:shd w:val="clear" w:color="auto" w:fill="CFF0FC"/>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Fiscal Year 2019</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30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7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(2,366)</w:t>
            </w:r>
          </w:p>
        </w:tc>
        <w:tc>
          <w:tcPr>
            <w:tcW w:w="20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8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(9,380)</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Employer contributions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Benefit payments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(4,466)</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and other expenses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Difference between actual and expected return on plan assets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Anticipated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Actuarial loss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(7,738)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unrecognized net actuarial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Annual cost/change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(5,465)</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247"/>
        </w:trPr>
        <w:tc>
          <w:tcPr>
            <w:tcW w:w="41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bottom w:val="single" w:sz="8" w:color="CFF0FC"/>
            </w:tcBorders>
          </w:tcPr>
          <w:p>
            <w:pPr>
              <w:spacing w:after="0"/>
              <w:rPr>
                <w:sz w:val="21"/>
                <w:szCs w:val="21"/>
                <w:color w:val="auto"/>
              </w:rPr>
            </w:pPr>
          </w:p>
        </w:tc>
        <w:tc>
          <w:tcPr>
            <w:tcW w:w="1000" w:type="dxa"/>
            <w:vAlign w:val="bottom"/>
            <w:tcBorders>
              <w:top w:val="single" w:sz="8" w:color="auto"/>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CFF0FC"/>
            </w:tcBorders>
          </w:tcPr>
          <w:p>
            <w:pPr>
              <w:spacing w:after="0"/>
              <w:rPr>
                <w:sz w:val="21"/>
                <w:szCs w:val="21"/>
                <w:color w:val="auto"/>
              </w:rPr>
            </w:pPr>
          </w:p>
        </w:tc>
        <w:tc>
          <w:tcPr>
            <w:tcW w:w="740" w:type="dxa"/>
            <w:vAlign w:val="bottom"/>
            <w:tcBorders>
              <w:top w:val="single" w:sz="8" w:color="auto"/>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66,838</w:t>
            </w:r>
          </w:p>
        </w:tc>
        <w:tc>
          <w:tcPr>
            <w:tcW w:w="24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(65,007)</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CFF0FC"/>
            </w:tcBorders>
          </w:tcPr>
          <w:p>
            <w:pPr>
              <w:spacing w:after="0"/>
              <w:rPr>
                <w:sz w:val="21"/>
                <w:szCs w:val="21"/>
                <w:color w:val="auto"/>
              </w:rPr>
            </w:pPr>
          </w:p>
        </w:tc>
        <w:tc>
          <w:tcPr>
            <w:tcW w:w="780" w:type="dxa"/>
            <w:vAlign w:val="bottom"/>
            <w:tcBorders>
              <w:top w:val="single" w:sz="8" w:color="auto"/>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Funded status at the end of the year</w:t>
            </w: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Fiscal Year 2020</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(6,538)</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Employer contributions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Benefit payments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and other expenses</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Difference between actual and expected return on plan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Anticipated expenses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Actuarial loss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(3,009)</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unrecognized net actuarial loss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Annual cost/change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2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69,088</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(65,398)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Funded status at the end of the year</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At September 30, 2020 the amounts included on the balance sheet in deferred charges and other assets were $3.7 million, and at September 30, 2019 the amounts included on the balance sheet in deferred charges and other assets were $1.8 million.</w:t>
      </w:r>
    </w:p>
    <w:p>
      <w:pPr>
        <w:spacing w:after="0" w:line="162"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The $12.2 million net actuarial loss balance at September 30, 2020 for the two frozen defined benefit pension plans in accumulated other comprehensive income will be recognized and amortized into net periodic pension costs as an actuarial loss in future years. The estimated amount that will be amortized from accumulated other comprehensive income into net periodic pension cost over the next fiscal year is $0.9 million.</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 Assumptions Used in the Measurement of the Company’s Benefit</w:t>
            </w: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0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 at year end date</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 for the year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4.67%</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The expected return on plan assets is determined based on the expected long-term rate of return on plan assets and the market-related value of plan assets determined using fair value.</w:t>
      </w:r>
    </w:p>
    <w:p>
      <w:pPr>
        <w:spacing w:after="0" w:line="162" w:lineRule="exact"/>
        <w:rPr>
          <w:sz w:val="20"/>
          <w:szCs w:val="20"/>
          <w:color w:val="auto"/>
        </w:rPr>
      </w:pPr>
    </w:p>
    <w:p>
      <w:pPr>
        <w:ind w:right="300" w:firstLine="589"/>
        <w:spacing w:after="0" w:line="266" w:lineRule="auto"/>
        <w:rPr>
          <w:sz w:val="20"/>
          <w:szCs w:val="20"/>
          <w:color w:val="auto"/>
        </w:rPr>
      </w:pPr>
      <w:r>
        <w:rPr>
          <w:rFonts w:ascii="Times New Roman" w:cs="Times New Roman" w:eastAsia="Times New Roman" w:hAnsi="Times New Roman"/>
          <w:sz w:val="18"/>
          <w:szCs w:val="18"/>
          <w:color w:val="auto"/>
        </w:rPr>
        <w:t>The Company’s expected long-term rate of return on plan assets is updated at least annually, taking into consideration our asset allocation, historical returns on the types of assets held, and the current economic environment. For fiscal year 2021, the Company’s assumption for return on plan assets will be 3.7% per annum.</w:t>
      </w:r>
    </w:p>
    <w:p>
      <w:pPr>
        <w:spacing w:after="0" w:line="176" w:lineRule="exact"/>
        <w:rPr>
          <w:sz w:val="20"/>
          <w:szCs w:val="20"/>
          <w:color w:val="auto"/>
        </w:rPr>
      </w:pPr>
    </w:p>
    <w:p>
      <w:pPr>
        <w:jc w:val="both"/>
        <w:ind w:firstLine="589"/>
        <w:spacing w:after="0" w:line="289" w:lineRule="auto"/>
        <w:rPr>
          <w:sz w:val="20"/>
          <w:szCs w:val="20"/>
          <w:color w:val="auto"/>
        </w:rPr>
      </w:pPr>
      <w:r>
        <w:rPr>
          <w:rFonts w:ascii="Times New Roman" w:cs="Times New Roman" w:eastAsia="Times New Roman" w:hAnsi="Times New Roman"/>
          <w:sz w:val="17"/>
          <w:szCs w:val="17"/>
          <w:color w:val="auto"/>
        </w:rPr>
        <w:t>The discount rate used to determine net periodic pension expense for fiscal year 2020, 2019, and 2018 was 2.45%, 3.00%, and 4.15%, respectively. The discount rate used by the Company in determining pension expense and pension obligations reflects the yield of high quality (AA or better rating by a recognized rating agency) corporate bonds whose cash flows are expected to match the timing and amounts of projected future benefit payments.</w:t>
      </w:r>
    </w:p>
    <w:p>
      <w:pPr>
        <w:spacing w:after="0" w:line="158"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The Plan’s objectives are to have the ability to pay benefit and expense obligations when due, to maintain the funded ratio of the Plan, to maximize return within reasonable and prudent levels of risk in order to minimize contributions and charges to the profit and loss statement, and to control costs of administering the Plan and managing the investments of the Plan. The target asset allocation of the Plan (currently 90% domestic fixed income, 7% domestic equities and 2% international equities and 1% cash and cash equivalents) is based on a long-term perspective, and as the Plan gets closer to being fully funded, the allocations have been adjusted to lower volatility from equity holdings.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had no Level 2 or Level 3 pension plan assets during the two years ended September 30, 2020. The fair values and percentage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pension plan assets by asset category are as follows (in thousands):</w:t>
      </w:r>
    </w:p>
    <w:p>
      <w:pPr>
        <w:spacing w:after="0" w:line="30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55"/>
        </w:trPr>
        <w:tc>
          <w:tcPr>
            <w:tcW w:w="9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44"/>
        </w:trPr>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Concentration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Concentration</w:t>
            </w:r>
          </w:p>
        </w:tc>
      </w:tr>
      <w:tr>
        <w:trPr>
          <w:trHeight w:val="160"/>
        </w:trPr>
        <w:tc>
          <w:tcPr>
            <w:tcW w:w="52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Asset Category</w:t>
            </w:r>
          </w:p>
        </w:tc>
        <w:tc>
          <w:tcPr>
            <w:tcW w:w="200" w:type="dxa"/>
            <w:vAlign w:val="bottom"/>
          </w:tcPr>
          <w:p>
            <w:pPr>
              <w:spacing w:after="0"/>
              <w:rPr>
                <w:sz w:val="13"/>
                <w:szCs w:val="13"/>
                <w:color w:val="auto"/>
              </w:rPr>
            </w:pPr>
          </w:p>
        </w:tc>
        <w:tc>
          <w:tcPr>
            <w:tcW w:w="1100" w:type="dxa"/>
            <w:vAlign w:val="bottom"/>
            <w:gridSpan w:val="3"/>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3"/>
                <w:szCs w:val="13"/>
                <w:color w:val="auto"/>
              </w:rPr>
            </w:pPr>
          </w:p>
        </w:tc>
        <w:tc>
          <w:tcPr>
            <w:tcW w:w="1120" w:type="dxa"/>
            <w:vAlign w:val="bottom"/>
            <w:gridSpan w:val="3"/>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1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
        </w:trPr>
        <w:tc>
          <w:tcPr>
            <w:tcW w:w="920" w:type="dxa"/>
            <w:vAlign w:val="bottom"/>
            <w:tcBorders>
              <w:bottom w:val="single" w:sz="8" w:color="CFF0FC"/>
            </w:tcBorders>
            <w:shd w:val="clear" w:color="auto" w:fill="000000"/>
          </w:tcPr>
          <w:p>
            <w:pPr>
              <w:spacing w:after="0" w:line="20" w:lineRule="exact"/>
              <w:rPr>
                <w:sz w:val="1"/>
                <w:szCs w:val="1"/>
                <w:color w:val="auto"/>
              </w:rPr>
            </w:pPr>
          </w:p>
        </w:tc>
        <w:tc>
          <w:tcPr>
            <w:tcW w:w="42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17"/>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U.S. government bond fund (1)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20" w:type="dxa"/>
            <w:vAlign w:val="bottom"/>
            <w:shd w:val="clear" w:color="auto" w:fill="CFF0FC"/>
          </w:tcPr>
          <w:p>
            <w:pPr>
              <w:spacing w:after="0"/>
              <w:rPr>
                <w:sz w:val="18"/>
                <w:szCs w:val="18"/>
                <w:color w:val="auto"/>
              </w:rPr>
            </w:pPr>
          </w:p>
        </w:tc>
      </w:tr>
      <w:tr>
        <w:trPr>
          <w:trHeight w:val="22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large-cap equity (1)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equity (1)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66,838</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investments in Vanguard funds that seek to replicate the asset category description.</w:t>
      </w:r>
    </w:p>
    <w:p>
      <w:pPr>
        <w:spacing w:after="0" w:line="225" w:lineRule="exact"/>
        <w:rPr>
          <w:sz w:val="20"/>
          <w:szCs w:val="20"/>
          <w:color w:val="auto"/>
        </w:rPr>
      </w:pPr>
    </w:p>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The Company is not obligated to make a minimum required contribution in fiscal year 2021, and currently does not expect to make an optional pension contribution.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7" w:name="page108"/>
    <w:bookmarkEnd w:id="107"/>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Expected benefit payments over each of the next five years will total approximately $4.3 million per year. Expected benefit payments for the five years thereafter will aggregate approximately $18.3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was signed into law on March 27, 2020. The CARES Act allows employers to defer the payment of the employer's portion of Social Security taxes for period beginning March 27, 2020 and ending December 31, 2020 to years 2021 and 2022. The company has elected to defer the payment of its portion of Social Security taxes through September 30, 2020 of $6.5 million and recorded a related deferred tax asset of $0.9 million at September 30, 2020.</w:t>
      </w:r>
    </w:p>
    <w:p>
      <w:pPr>
        <w:spacing w:after="0" w:line="180" w:lineRule="exact"/>
        <w:rPr>
          <w:sz w:val="20"/>
          <w:szCs w:val="20"/>
          <w:color w:val="auto"/>
        </w:rPr>
      </w:pPr>
    </w:p>
    <w:p>
      <w:pPr>
        <w:ind w:right="40" w:firstLine="589"/>
        <w:spacing w:after="0" w:line="257" w:lineRule="auto"/>
        <w:rPr>
          <w:sz w:val="20"/>
          <w:szCs w:val="20"/>
          <w:color w:val="auto"/>
        </w:rPr>
      </w:pPr>
      <w:r>
        <w:rPr>
          <w:rFonts w:ascii="Times New Roman" w:cs="Times New Roman" w:eastAsia="Times New Roman" w:hAnsi="Times New Roman"/>
          <w:sz w:val="18"/>
          <w:szCs w:val="18"/>
          <w:color w:val="auto"/>
        </w:rPr>
        <w:t>On December 22, 2017, the Tax Cuts and Jobs Act (the “Tax Reform Act”) was enacted into law. The Tax Reform Act is a complicated piece of legislation that, among other provisions, contains several key provisions which impact the Company, especially the reduction of the Federal corporate income tax rate from 35% to 21% effective January 1, 2018. In addition, between September 28, 2017 and December 31, 2022, the Tax Reform Act allows for the full depreciation, in the year acquired, for certain fixed assets purchased in that year (also known as 100% bonus depreciation). The re-measurement of the deferred tax assets and liabilities for the enacted Tax Reform Act resulted in an $11.1 million discrete tax benefit recorded as of September 30, 2018.</w:t>
      </w: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Income tax expense is comprised of the following for the indicated periods (in thousands):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020" w:type="dxa"/>
            <w:vAlign w:val="bottom"/>
            <w:tcBorders>
              <w:bottom w:val="single" w:sz="8" w:color="CFF0FC"/>
            </w:tcBorders>
          </w:tcPr>
          <w:p>
            <w:pPr>
              <w:spacing w:after="0"/>
              <w:rPr>
                <w:sz w:val="13"/>
                <w:szCs w:val="13"/>
                <w:color w:val="auto"/>
              </w:rPr>
            </w:pPr>
          </w:p>
        </w:tc>
        <w:tc>
          <w:tcPr>
            <w:tcW w:w="2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w:t>
            </w:r>
          </w:p>
        </w:tc>
        <w:tc>
          <w:tcPr>
            <w:tcW w:w="14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20" w:type="dxa"/>
            <w:vAlign w:val="bottom"/>
          </w:tcPr>
          <w:p>
            <w:pPr>
              <w:spacing w:after="0"/>
              <w:rPr>
                <w:sz w:val="19"/>
                <w:szCs w:val="19"/>
                <w:color w:val="auto"/>
              </w:rPr>
            </w:pP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(6,067)</w:t>
            </w:r>
          </w:p>
        </w:tc>
      </w:tr>
      <w:tr>
        <w:trPr>
          <w:trHeight w:val="230"/>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(2,643)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(3,168)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80" w:type="dxa"/>
            <w:vAlign w:val="bottom"/>
            <w:shd w:val="clear" w:color="auto" w:fill="CFF0FC"/>
          </w:tcPr>
          <w:p>
            <w:pPr>
              <w:spacing w:after="0"/>
              <w:rPr>
                <w:sz w:val="19"/>
                <w:szCs w:val="19"/>
                <w:color w:val="auto"/>
              </w:rPr>
            </w:pPr>
          </w:p>
        </w:tc>
      </w:tr>
      <w:tr>
        <w:trPr>
          <w:trHeight w:val="229"/>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r>
      <w:tr>
        <w:trPr>
          <w:trHeight w:val="223"/>
        </w:trPr>
        <w:tc>
          <w:tcPr>
            <w:tcW w:w="302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provision for income taxes differs from income taxes computed at the Federal statutory rate as a result of the following (in thousands):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4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76,543</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6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Effect of the tax reform on deferred taxes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(11,101)</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Company loss not subject to federal income taxes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net of effect of the tax reform</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The Tax at Federal statutory rate is determined based on income from continuing operations before tax and the enacted Federal statutory rate. For first quarter of fiscal 2018 the Federal statutory rate was 35%. For the remainder of fiscal 2018 and fiscal years 2019 and 2020 the Federal statutory rate was 21%. In fiscal 2018, income from continuing operations before tax was $28.7 million in the first quarter, and $34.4 million for the remainder of the fiscal year.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ind w:firstLine="589"/>
        <w:spacing w:after="0" w:line="282" w:lineRule="auto"/>
        <w:rPr>
          <w:sz w:val="20"/>
          <w:szCs w:val="20"/>
          <w:color w:val="auto"/>
        </w:rPr>
      </w:pPr>
      <w:r>
        <w:rPr>
          <w:rFonts w:ascii="Times New Roman" w:cs="Times New Roman" w:eastAsia="Times New Roman" w:hAnsi="Times New Roman"/>
          <w:sz w:val="18"/>
          <w:szCs w:val="18"/>
          <w:color w:val="auto"/>
        </w:rPr>
        <w:t>The components of the net deferred taxes for the years ended September 30, 2020 and September 30, 2019 using current tax rates are as follows (in thousands):</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4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w:t>
            </w:r>
          </w:p>
        </w:tc>
        <w:tc>
          <w:tcPr>
            <w:tcW w:w="22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accrual</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Inventory capitalization</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(3,890)</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65,033</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38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89"/>
        <w:spacing w:after="0" w:line="254" w:lineRule="auto"/>
        <w:rPr>
          <w:sz w:val="20"/>
          <w:szCs w:val="20"/>
          <w:color w:val="auto"/>
        </w:rPr>
      </w:pPr>
      <w:r>
        <w:rPr>
          <w:rFonts w:ascii="Times New Roman" w:cs="Times New Roman" w:eastAsia="Times New Roman" w:hAnsi="Times New Roman"/>
          <w:sz w:val="18"/>
          <w:szCs w:val="18"/>
          <w:color w:val="auto"/>
        </w:rPr>
        <w:t>In order to fully realize the net deferred tax assets, the Company’s corporate subsidiaries will need to generate future taxable income. A valuation allowance is recognized if, based on the weight of available evidence including historical tax losses, it is more likely than not that some or all of deferred tax assets will not be realized. The net change in the total valuation allowance for the fiscal year ended September 30, 2020 was $(0.1) million. The net change in the total valuation allowance for the fiscal year ended September 30, 2019 was less than $0.1 million. Based upon a review of a number of factors and all available evidence, including recent historical operating performance, the expectation of sustainable earnings, and the confidence that sufficient positive taxable income will continue in all tax jurisdictions for the foreseeable future, management concludes for the year ended September 30, 2020, it is more likely than not that the Company will realize the full benefit of its deferred tax assets, net of existing valuation allowance related to State net operating loss carryforwards at September 30, 2020.</w:t>
      </w:r>
    </w:p>
    <w:p>
      <w:pPr>
        <w:spacing w:after="0" w:line="192" w:lineRule="exact"/>
        <w:rPr>
          <w:sz w:val="20"/>
          <w:szCs w:val="20"/>
          <w:color w:val="auto"/>
        </w:rPr>
      </w:pPr>
    </w:p>
    <w:p>
      <w:pPr>
        <w:ind w:right="360" w:firstLine="589"/>
        <w:spacing w:after="0" w:line="266" w:lineRule="auto"/>
        <w:rPr>
          <w:sz w:val="20"/>
          <w:szCs w:val="20"/>
          <w:color w:val="auto"/>
        </w:rPr>
      </w:pPr>
      <w:r>
        <w:rPr>
          <w:rFonts w:ascii="Times New Roman" w:cs="Times New Roman" w:eastAsia="Times New Roman" w:hAnsi="Times New Roman"/>
          <w:sz w:val="18"/>
          <w:szCs w:val="18"/>
          <w:color w:val="auto"/>
        </w:rPr>
        <w:t>As of January 1, 2020, the Company had State tax effected net operating loss carry forwards (“NOLs”) of approximately $2.2 million after consideration of valuation allowances. The State NOLs, which will expire between 2023 and 2037, are generally available to offset any future taxable income in certain states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September 30, 2020, we did not have unrecognized income tax benefits.</w:t>
      </w:r>
    </w:p>
    <w:p>
      <w:pPr>
        <w:spacing w:after="0" w:line="225"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We file U.S. Federal income tax returns and various state and local returns. A number of years may elapse before an uncertain tax position is audited and finally resolved. For our Federal income tax returns we have four tax years subject to examination. In our major state tax jurisdictions of New York, Connecticut, and Pennsylvania we have four years that are subject to examination. In the state tax jurisdiction of New Jersey we have five tax years that are subject to examination. While it is often difficult to predict the final outcome or the timing of resolution of any particular uncertain tax position, based on our assessment of many factors including past experience and interpretation of tax law, we believe that our provision for income taxes reflect the most probable outcome. This assessment relies on estimates and assumptions and may involve a series of complex judgments about future events.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21" w:lineRule="exact"/>
        <w:rPr>
          <w:sz w:val="20"/>
          <w:szCs w:val="20"/>
          <w:color w:val="auto"/>
        </w:rPr>
      </w:pPr>
    </w:p>
    <w:p>
      <w:pPr>
        <w:ind w:right="80" w:firstLine="674"/>
        <w:spacing w:after="0" w:line="312" w:lineRule="auto"/>
        <w:rPr>
          <w:sz w:val="20"/>
          <w:szCs w:val="20"/>
          <w:color w:val="auto"/>
        </w:rPr>
      </w:pPr>
      <w:r>
        <w:rPr>
          <w:rFonts w:ascii="Times New Roman" w:cs="Times New Roman" w:eastAsia="Times New Roman" w:hAnsi="Times New Roman"/>
          <w:sz w:val="17"/>
          <w:szCs w:val="17"/>
          <w:color w:val="auto"/>
        </w:rPr>
        <w:t>The Company has entered into certain operating leases for office space, vehicles and other equipment with lease terms between one to fifteen years, expiring between 2020 and 2033. Some of the Company’s real estate property lease agreements have options to extend the leases for up to ten years.</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total lease costs and other information for the twelve months ended September 30, 2020 is as follows: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6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380" w:type="dxa"/>
            <w:vAlign w:val="bottom"/>
          </w:tcPr>
          <w:p>
            <w:pPr>
              <w:jc w:val="right"/>
              <w:ind w:right="575"/>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Lease cost:</w:t>
            </w:r>
          </w:p>
        </w:tc>
        <w:tc>
          <w:tcPr>
            <w:tcW w:w="5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Borders>
              <w:bottom w:val="single" w:sz="8" w:color="CFF0FC"/>
            </w:tcBorders>
            <w:gridSpan w:val="2"/>
          </w:tcPr>
          <w:p>
            <w:pPr>
              <w:ind w:left="34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340" w:firstLine="589"/>
        <w:spacing w:after="0" w:line="282" w:lineRule="auto"/>
        <w:rPr>
          <w:sz w:val="20"/>
          <w:szCs w:val="20"/>
          <w:color w:val="auto"/>
        </w:rPr>
      </w:pPr>
      <w:r>
        <w:rPr>
          <w:rFonts w:ascii="Times New Roman" w:cs="Times New Roman" w:eastAsia="Times New Roman" w:hAnsi="Times New Roman"/>
          <w:sz w:val="18"/>
          <w:szCs w:val="18"/>
          <w:color w:val="auto"/>
        </w:rPr>
        <w:t>As of September 30, 2020, our operating leases had a weighted average remaining lease term of 7.1 years and a weighted average discount rate of 4.9%. Maturities of noncancelable operating lease liabilities as of September 30, 2020 are as follows:</w:t>
      </w:r>
    </w:p>
    <w:p>
      <w:pPr>
        <w:spacing w:after="0" w:line="263"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37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653"/>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r>
      <w:tr>
        <w:trPr>
          <w:trHeight w:val="217"/>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82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23,743</w:t>
            </w: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80" w:type="dxa"/>
            <w:vAlign w:val="bottom"/>
          </w:tcPr>
          <w:p>
            <w:pPr>
              <w:spacing w:after="0"/>
              <w:rPr>
                <w:sz w:val="19"/>
                <w:szCs w:val="19"/>
                <w:color w:val="auto"/>
              </w:rPr>
            </w:pPr>
          </w:p>
        </w:tc>
      </w:tr>
      <w:tr>
        <w:trPr>
          <w:trHeight w:val="229"/>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8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80" w:type="dxa"/>
            <w:vAlign w:val="bottom"/>
            <w:shd w:val="clear" w:color="auto" w:fill="CFF0FC"/>
          </w:tcPr>
          <w:p>
            <w:pPr>
              <w:spacing w:after="0"/>
              <w:rPr>
                <w:sz w:val="19"/>
                <w:szCs w:val="19"/>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14,725</w:t>
            </w:r>
          </w:p>
        </w:tc>
        <w:tc>
          <w:tcPr>
            <w:tcW w:w="80" w:type="dxa"/>
            <w:vAlign w:val="bottom"/>
          </w:tcPr>
          <w:p>
            <w:pPr>
              <w:spacing w:after="0"/>
              <w:rPr>
                <w:sz w:val="19"/>
                <w:szCs w:val="19"/>
                <w:color w:val="auto"/>
              </w:rPr>
            </w:pPr>
          </w:p>
        </w:tc>
      </w:tr>
      <w:tr>
        <w:trPr>
          <w:trHeight w:val="229"/>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8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80" w:type="dxa"/>
            <w:vAlign w:val="bottom"/>
            <w:tcBorders>
              <w:bottom w:val="single" w:sz="8" w:color="CFF0FC"/>
            </w:tcBorders>
          </w:tcPr>
          <w:p>
            <w:pPr>
              <w:spacing w:after="0"/>
              <w:rPr>
                <w:sz w:val="19"/>
                <w:szCs w:val="19"/>
                <w:color w:val="auto"/>
              </w:rPr>
            </w:pPr>
          </w:p>
        </w:tc>
      </w:tr>
      <w:tr>
        <w:trPr>
          <w:trHeight w:val="223"/>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125,576</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(20,529)</w:t>
            </w:r>
          </w:p>
        </w:tc>
      </w:tr>
      <w:tr>
        <w:trPr>
          <w:trHeight w:val="223"/>
        </w:trPr>
        <w:tc>
          <w:tcPr>
            <w:tcW w:w="37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105,047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Maturities of operating lease liabilities under noncancelable operating leases (within initial ore remaining lease terms in excess of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undiscounted under ASC Topic 840 as prescribed by ASC Topic 842 as of September 30, 2019 were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40" w:type="dxa"/>
            <w:vAlign w:val="bottom"/>
          </w:tcPr>
          <w:p>
            <w:pPr>
              <w:spacing w:after="0"/>
              <w:rPr>
                <w:sz w:val="14"/>
                <w:szCs w:val="14"/>
                <w:color w:val="auto"/>
              </w:rPr>
            </w:pPr>
          </w:p>
        </w:tc>
      </w:tr>
      <w:tr>
        <w:trPr>
          <w:trHeight w:val="180"/>
        </w:trPr>
        <w:tc>
          <w:tcPr>
            <w:tcW w:w="2260" w:type="dxa"/>
            <w:vAlign w:val="bottom"/>
          </w:tcPr>
          <w:p>
            <w:pPr>
              <w:spacing w:after="0"/>
              <w:rPr>
                <w:sz w:val="15"/>
                <w:szCs w:val="15"/>
                <w:color w:val="auto"/>
              </w:rPr>
            </w:pPr>
          </w:p>
        </w:tc>
        <w:tc>
          <w:tcPr>
            <w:tcW w:w="2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34"/>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2240" w:type="dxa"/>
            <w:vAlign w:val="bottom"/>
          </w:tcPr>
          <w:p>
            <w:pPr>
              <w:spacing w:after="0"/>
              <w:rPr>
                <w:sz w:val="15"/>
                <w:szCs w:val="15"/>
                <w:color w:val="auto"/>
              </w:rPr>
            </w:pPr>
          </w:p>
        </w:tc>
      </w:tr>
      <w:tr>
        <w:trPr>
          <w:trHeight w:val="216"/>
        </w:trPr>
        <w:tc>
          <w:tcPr>
            <w:tcW w:w="2260" w:type="dxa"/>
            <w:vAlign w:val="bottom"/>
          </w:tcPr>
          <w:p>
            <w:pPr>
              <w:spacing w:after="0"/>
              <w:rPr>
                <w:sz w:val="18"/>
                <w:szCs w:val="18"/>
                <w:color w:val="auto"/>
              </w:rPr>
            </w:pPr>
          </w:p>
        </w:tc>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0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24,082</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8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129,608</w:t>
            </w:r>
          </w:p>
        </w:tc>
        <w:tc>
          <w:tcPr>
            <w:tcW w:w="224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3"/>
        </w:trPr>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40" w:type="dxa"/>
            <w:vAlign w:val="bottom"/>
            <w:gridSpan w:val="2"/>
          </w:tcPr>
          <w:p>
            <w:pPr>
              <w:jc w:val="right"/>
              <w:ind w:right="1976"/>
              <w:spacing w:after="0"/>
              <w:rPr>
                <w:sz w:val="20"/>
                <w:szCs w:val="20"/>
                <w:color w:val="auto"/>
              </w:rPr>
            </w:pPr>
            <w:r>
              <w:rPr>
                <w:rFonts w:ascii="Times New Roman" w:cs="Times New Roman" w:eastAsia="Times New Roman" w:hAnsi="Times New Roman"/>
                <w:sz w:val="18"/>
                <w:szCs w:val="18"/>
                <w:color w:val="auto"/>
              </w:rPr>
              <w:t>F-38</w:t>
            </w: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color w:val="auto"/>
        </w:rPr>
        <w:t>Rent expense for the fiscal years ended September 30, 2019, and 2018 under ASC Topic 840 was $26.2 million, and $23.3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Disclosure of Cash Flow Information</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80" w:type="dxa"/>
            <w:vAlign w:val="bottom"/>
            <w:gridSpan w:val="3"/>
            <w:vMerge w:val="continue"/>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2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Cash paid during the period for:</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15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the operating hazards and risks normally incidental to handling, storing and transporting and otherwise providing for use by consumers hazardous liquids such as home heating oil and propane. In the ordinary course of business, the Company is a defendant in various legal proceedings and litigation. The Company records a liability when it is probable that a loss has been incurred and the amount is reasonably estimable. We do not believe these matters, when considered individually or in the aggregate, could reasonably be expected to have a material adverse effect on the Company’s results of operations, financial position or liquidity.</w:t>
      </w:r>
    </w:p>
    <w:p>
      <w:pPr>
        <w:spacing w:after="0" w:line="75"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The Company maintains insurance policies with insurers in amounts and with coverages and deductibles we believe are reasonable and prudent. However, the Company cannot assure that this insurance will be adequate to protect it from all material expenses related to current and potential future claims, legal proceedings and litigation, as certain types of claims may be excluded from our insurance coverage. If we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Limited Partner Units</w:t>
      </w:r>
    </w:p>
    <w:p>
      <w:pPr>
        <w:spacing w:after="0" w:line="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net income allocation and per unit data:</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Basic and Diluted Earnings Per Limited Partner: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5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Borders>
              <w:bottom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General Partners’ interest in net income</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dilutive impact of theoretical distribution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earnings *</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Per unit data:</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available to limited partners</w:t>
            </w:r>
          </w:p>
        </w:tc>
        <w:tc>
          <w:tcPr>
            <w:tcW w:w="3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dilutive impact of theoretical distribution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Borders>
              <w:bottom w:val="single" w:sz="8" w:color="CFF0FC"/>
            </w:tcBorders>
            <w:gridSpan w:val="2"/>
          </w:tcPr>
          <w:p>
            <w:pPr>
              <w:ind w:left="360"/>
              <w:spacing w:after="0"/>
              <w:rPr>
                <w:sz w:val="20"/>
                <w:szCs w:val="20"/>
                <w:color w:val="auto"/>
              </w:rPr>
            </w:pPr>
            <w:r>
              <w:rPr>
                <w:rFonts w:ascii="Times New Roman" w:cs="Times New Roman" w:eastAsia="Times New Roman" w:hAnsi="Times New Roman"/>
                <w:sz w:val="18"/>
                <w:szCs w:val="18"/>
                <w:color w:val="auto"/>
              </w:rPr>
              <w:t>earnings *</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 under</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97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45" w:lineRule="exact"/>
        <w:rPr>
          <w:sz w:val="20"/>
          <w:szCs w:val="20"/>
          <w:color w:val="auto"/>
        </w:rPr>
      </w:pPr>
    </w:p>
    <w:p>
      <w:pPr>
        <w:ind w:left="580" w:hanging="572"/>
        <w:spacing w:after="0" w:line="261" w:lineRule="auto"/>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accounting period where the Company’s aggregate net income exceeds its aggregate distribution for such period, the Company is required to present net income per limited partner unit as if all of the earnings for the period were distributed, based on the terms of the Partnership agreement, regardless of whether those earnings would actually be distributed during a particular period from an economic or practical perspective. This allocation does not impact the Company’s overall net income or other financial results.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20) Selected Quarterly Financial Data (unaudited)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Dec. 31,</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Mar.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Jun. 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Sep.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 except per unit data)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508,945</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543,063</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232,155</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product, installation and service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475,020</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(36,098)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92,968</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76,543</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(30,199)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 interest in net income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55,541</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Limited Partner unit: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r>
        <w:trPr>
          <w:trHeight w:val="468"/>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Dec. 31,</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Mar.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Jun. 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Sep.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 except per unit data)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535,027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699,582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283,376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235,887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1,753,872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product, installation and service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487,706</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(29,933)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(43,782)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(23,098)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(33,905)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 interest in net income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Limited Partner unit: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(0.46)</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left="580" w:right="160" w:hanging="572"/>
        <w:spacing w:after="0" w:line="282" w:lineRule="auto"/>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quarters do not add-up to the total due to the weighting of Limited Partner Units outstanding, rounding or the theoretical effects of FASB ASC 260-10-45-60 to Master Limited Partners earnings per unit.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Distribution Declared</w:t>
      </w:r>
    </w:p>
    <w:p>
      <w:pPr>
        <w:spacing w:after="0" w:line="119" w:lineRule="exact"/>
        <w:rPr>
          <w:sz w:val="20"/>
          <w:szCs w:val="20"/>
          <w:color w:val="auto"/>
        </w:rPr>
      </w:pPr>
    </w:p>
    <w:p>
      <w:pPr>
        <w:ind w:right="60" w:firstLine="589"/>
        <w:spacing w:after="0" w:line="274" w:lineRule="auto"/>
        <w:rPr>
          <w:sz w:val="20"/>
          <w:szCs w:val="20"/>
          <w:color w:val="auto"/>
        </w:rPr>
      </w:pPr>
      <w:r>
        <w:rPr>
          <w:rFonts w:ascii="Times New Roman" w:cs="Times New Roman" w:eastAsia="Times New Roman" w:hAnsi="Times New Roman"/>
          <w:sz w:val="17"/>
          <w:szCs w:val="17"/>
          <w:color w:val="auto"/>
        </w:rPr>
        <w:t>In October 2020, we declared a quarterly distribution of $0.1325 per unit, or $0.53 per unit on an annualized basis, on all Common Units with respect to the fourth quarter of fiscal 2020, paid on November 10, 2020, to holders of record on November 2, 2020. The amount of distributions in excess of the minimum quarterly distribution of $0.0675, were distributed in accordance with our Partnership Agreement, subject to management incentive compensation plan. As a result, $5.7 million was paid to the Common Unit holders, $0.2 million to the General Partner unit holders (including $0.2 million of incentive distribution as provided in our Partnership Agreement) and $0.2 million to management pursuant to the management incentive compensation plan which provides for certain members of management to receive incentive distributions that would otherwise be payable to the General Partner.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Units Repurchased and Retired</w:t>
      </w:r>
    </w:p>
    <w:p>
      <w:pPr>
        <w:spacing w:after="0" w:line="119" w:lineRule="exact"/>
        <w:rPr>
          <w:sz w:val="20"/>
          <w:szCs w:val="20"/>
          <w:color w:val="auto"/>
        </w:rPr>
      </w:pPr>
    </w:p>
    <w:p>
      <w:pPr>
        <w:ind w:right="160" w:firstLine="667"/>
        <w:spacing w:after="0" w:line="282" w:lineRule="auto"/>
        <w:rPr>
          <w:sz w:val="20"/>
          <w:szCs w:val="20"/>
          <w:color w:val="auto"/>
        </w:rPr>
      </w:pPr>
      <w:r>
        <w:rPr>
          <w:rFonts w:ascii="Times New Roman" w:cs="Times New Roman" w:eastAsia="Times New Roman" w:hAnsi="Times New Roman"/>
          <w:sz w:val="18"/>
          <w:szCs w:val="18"/>
          <w:color w:val="auto"/>
        </w:rPr>
        <w:t>In October and November 2020, in accordance with the Repurchase Plan, the Company repurchased and retired 0.5 million Common Units at an average price paid of $9.65 per unit.</w:t>
      </w:r>
    </w:p>
    <w:p>
      <w:pPr>
        <w:spacing w:after="0" w:line="54" w:lineRule="exact"/>
        <w:rPr>
          <w:sz w:val="20"/>
          <w:szCs w:val="20"/>
          <w:color w:val="auto"/>
        </w:rPr>
      </w:pPr>
    </w:p>
    <w:p>
      <w:pPr>
        <w:ind w:right="420" w:firstLine="667"/>
        <w:spacing w:after="0" w:line="266" w:lineRule="auto"/>
        <w:rPr>
          <w:sz w:val="20"/>
          <w:szCs w:val="20"/>
          <w:color w:val="auto"/>
        </w:rPr>
      </w:pPr>
      <w:r>
        <w:rPr>
          <w:rFonts w:ascii="Times New Roman" w:cs="Times New Roman" w:eastAsia="Times New Roman" w:hAnsi="Times New Roman"/>
          <w:sz w:val="18"/>
          <w:szCs w:val="18"/>
          <w:color w:val="auto"/>
        </w:rPr>
        <w:t>On November 16, 2020, the Company entered into a Unit Purchase Agreement with Moab Partners, L.P. and purchased 1.4 million Common Units in a private transaction for aggregate consideration of approximately $13.8 million. The purchase was made outside of the Company’s unit repurchase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Propane Assets</w:t>
      </w:r>
    </w:p>
    <w:p>
      <w:pPr>
        <w:spacing w:after="0" w:line="1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On October 27, 2020, we completed a sale of certain propane assets for $7.0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Bank Waiver</w:t>
      </w:r>
    </w:p>
    <w:p>
      <w:pPr>
        <w:spacing w:after="0" w:line="119" w:lineRule="exact"/>
        <w:rPr>
          <w:sz w:val="20"/>
          <w:szCs w:val="20"/>
          <w:color w:val="auto"/>
        </w:rPr>
      </w:pPr>
    </w:p>
    <w:p>
      <w:pPr>
        <w:ind w:firstLine="667"/>
        <w:spacing w:after="0" w:line="282" w:lineRule="auto"/>
        <w:rPr>
          <w:sz w:val="20"/>
          <w:szCs w:val="20"/>
          <w:color w:val="auto"/>
        </w:rPr>
      </w:pPr>
      <w:r>
        <w:rPr>
          <w:rFonts w:ascii="Times New Roman" w:cs="Times New Roman" w:eastAsia="Times New Roman" w:hAnsi="Times New Roman"/>
          <w:sz w:val="18"/>
          <w:szCs w:val="18"/>
          <w:color w:val="auto"/>
        </w:rPr>
        <w:t>On November 5, 2020, the Company obtained a waiver from the bank group that waived the Excess Cash Flow payment for the fiscal year ended September 30, 2020.</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5"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(PARENT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33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subsidiaries (a)</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255,823</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260,883</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255,823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460" w:right="1980" w:hanging="5452"/>
        <w:spacing w:after="0" w:line="532" w:lineRule="auto"/>
        <w:tabs>
          <w:tab w:leader="none" w:pos="5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Star Acquisitions, Inc. and subsidiaries are recorded in accordance with the equity method of accounting.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0972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ind w:left="10440"/>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(PARENT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20" w:type="dxa"/>
            <w:vAlign w:val="bottom"/>
            <w:tcBorders>
              <w:bottom w:val="single" w:sz="8" w:color="auto"/>
            </w:tcBorders>
            <w:vMerge w:val="continue"/>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Operating loss</w:t>
            </w:r>
          </w:p>
        </w:tc>
        <w:tc>
          <w:tcPr>
            <w:tcW w:w="18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loss before equity income</w:t>
            </w: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Equity income of Star Acquisitions Inc. and subs</w:t>
            </w:r>
          </w:p>
        </w:tc>
        <w:tc>
          <w:tcPr>
            <w:tcW w:w="18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20" w:type="dxa"/>
            <w:vAlign w:val="bottom"/>
          </w:tcPr>
          <w:p>
            <w:pPr>
              <w:spacing w:after="0"/>
              <w:rPr>
                <w:sz w:val="24"/>
                <w:szCs w:val="24"/>
                <w:color w:val="auto"/>
              </w:rPr>
            </w:pPr>
          </w:p>
        </w:tc>
        <w:tc>
          <w:tcPr>
            <w:tcW w:w="2320" w:type="dxa"/>
            <w:vAlign w:val="bottom"/>
            <w:gridSpan w:val="3"/>
          </w:tcPr>
          <w:p>
            <w:pPr>
              <w:jc w:val="right"/>
              <w:ind w:right="1056"/>
              <w:spacing w:after="0"/>
              <w:rPr>
                <w:sz w:val="20"/>
                <w:szCs w:val="20"/>
                <w:color w:val="auto"/>
              </w:rPr>
            </w:pPr>
            <w:r>
              <w:rPr>
                <w:rFonts w:ascii="Times New Roman" w:cs="Times New Roman" w:eastAsia="Times New Roman" w:hAnsi="Times New Roman"/>
                <w:sz w:val="18"/>
                <w:szCs w:val="18"/>
                <w:color w:val="auto"/>
              </w:rPr>
              <w:t>F-43</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ind w:left="10440"/>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(PARENT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auto"/>
            </w:tcBorders>
            <w:vMerge w:val="continue"/>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1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(a)</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tc>
        <w:tc>
          <w:tcPr>
            <w:tcW w:w="1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(24,451)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(25,593)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Unit repurchase</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(51,353)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(26,714)</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9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(62,882)</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FF0FC"/>
            </w:tcBorders>
          </w:tcPr>
          <w:p>
            <w:pPr>
              <w:spacing w:after="0"/>
              <w:rPr>
                <w:sz w:val="18"/>
                <w:szCs w:val="18"/>
                <w:color w:val="auto"/>
              </w:rPr>
            </w:pPr>
          </w:p>
        </w:tc>
        <w:tc>
          <w:tcPr>
            <w:tcW w:w="1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 Includes distributions from subsidiaries</w:t>
            </w:r>
          </w:p>
        </w:tc>
        <w:tc>
          <w:tcPr>
            <w:tcW w:w="19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2440" w:type="dxa"/>
            <w:vAlign w:val="bottom"/>
            <w:gridSpan w:val="3"/>
          </w:tcPr>
          <w:p>
            <w:pPr>
              <w:jc w:val="right"/>
              <w:ind w:right="1056"/>
              <w:spacing w:after="0"/>
              <w:rPr>
                <w:sz w:val="20"/>
                <w:szCs w:val="20"/>
                <w:color w:val="auto"/>
              </w:rPr>
            </w:pPr>
            <w:r>
              <w:rPr>
                <w:rFonts w:ascii="Times New Roman" w:cs="Times New Roman" w:eastAsia="Times New Roman" w:hAnsi="Times New Roman"/>
                <w:sz w:val="18"/>
                <w:szCs w:val="18"/>
                <w:color w:val="auto"/>
              </w:rPr>
              <w:t>F-44</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51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gridSpan w:val="6"/>
          </w:tcPr>
          <w:p>
            <w:pPr>
              <w:jc w:val="center"/>
              <w:ind w:left="2315"/>
              <w:spacing w:after="0"/>
              <w:rPr>
                <w:sz w:val="20"/>
                <w:szCs w:val="20"/>
                <w:color w:val="auto"/>
              </w:rPr>
            </w:pPr>
            <w:r>
              <w:rPr>
                <w:rFonts w:ascii="Times New Roman" w:cs="Times New Roman" w:eastAsia="Times New Roman" w:hAnsi="Times New Roman"/>
                <w:sz w:val="18"/>
                <w:szCs w:val="18"/>
                <w:b w:val="1"/>
                <w:bCs w:val="1"/>
                <w:color w:val="auto"/>
                <w:w w:val="98"/>
              </w:rPr>
              <w:t>VALUATION AND QUALIFYING ACCOUNTS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60" w:type="dxa"/>
            <w:vAlign w:val="bottom"/>
            <w:gridSpan w:val="6"/>
          </w:tcPr>
          <w:p>
            <w:pPr>
              <w:jc w:val="center"/>
              <w:ind w:left="2335"/>
              <w:spacing w:after="0"/>
              <w:rPr>
                <w:sz w:val="20"/>
                <w:szCs w:val="20"/>
                <w:color w:val="auto"/>
              </w:rPr>
            </w:pPr>
            <w:r>
              <w:rPr>
                <w:rFonts w:ascii="Times New Roman" w:cs="Times New Roman" w:eastAsia="Times New Roman" w:hAnsi="Times New Roman"/>
                <w:sz w:val="18"/>
                <w:szCs w:val="18"/>
                <w:b w:val="1"/>
                <w:bCs w:val="1"/>
                <w:color w:val="auto"/>
                <w:w w:val="99"/>
              </w:rPr>
              <w:t>Years Ended September 30, 2020, 2019, 2018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11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334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to Costs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Changes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2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 (Deduct)</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2020</w:t>
            </w:r>
          </w:p>
        </w:tc>
        <w:tc>
          <w:tcPr>
            <w:tcW w:w="1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(5,698) (a)</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94"/>
              </w:rPr>
              <w:t>2019</w:t>
            </w: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(9,165) (a)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94"/>
              </w:rPr>
              <w:t>2018</w:t>
            </w: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(3,821)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80" w:hanging="572"/>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debts written off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0972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auto"/>
        </w:rPr>
        <w:t>Exhibit 10.17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UNIT PURCHASE AGREEMENT</w:t>
      </w:r>
    </w:p>
    <w:p>
      <w:pPr>
        <w:spacing w:after="0" w:line="210" w:lineRule="exact"/>
        <w:rPr>
          <w:sz w:val="20"/>
          <w:szCs w:val="20"/>
          <w:color w:val="auto"/>
        </w:rPr>
      </w:pPr>
    </w:p>
    <w:p>
      <w:pPr>
        <w:ind w:right="620"/>
        <w:spacing w:after="0" w:line="238" w:lineRule="auto"/>
        <w:rPr>
          <w:sz w:val="20"/>
          <w:szCs w:val="20"/>
          <w:color w:val="auto"/>
        </w:rPr>
      </w:pPr>
      <w:r>
        <w:rPr>
          <w:rFonts w:ascii="Times New Roman" w:cs="Times New Roman" w:eastAsia="Times New Roman" w:hAnsi="Times New Roman"/>
          <w:sz w:val="22"/>
          <w:szCs w:val="22"/>
          <w:color w:val="auto"/>
        </w:rPr>
        <w:t>THIS AGREEMENT dated as of the 6</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of December, 2019, by and between Star Group, L.P., a Delaware limited partnership (hereinafter referred to as “Purchaser”), and Cat Rock Capital Management LP, a Delaware limited partnership (hereinafter referred to as “Seller”).</w:t>
      </w: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Facts:</w:t>
      </w:r>
    </w:p>
    <w:p>
      <w:pPr>
        <w:spacing w:after="0" w:line="182" w:lineRule="exact"/>
        <w:rPr>
          <w:sz w:val="20"/>
          <w:szCs w:val="20"/>
          <w:color w:val="auto"/>
        </w:rPr>
      </w:pPr>
    </w:p>
    <w:p>
      <w:pPr>
        <w:ind w:left="1720" w:hanging="848"/>
        <w:spacing w:after="0"/>
        <w:tabs>
          <w:tab w:leader="none" w:pos="17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the beneficial owner of common units of limited partnership interest of Purchaser (the “Common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w:t>
      </w:r>
    </w:p>
    <w:p>
      <w:pPr>
        <w:spacing w:after="0" w:line="182" w:lineRule="exact"/>
        <w:rPr>
          <w:sz w:val="20"/>
          <w:szCs w:val="20"/>
          <w:color w:val="auto"/>
        </w:rPr>
      </w:pPr>
    </w:p>
    <w:p>
      <w:pPr>
        <w:ind w:right="20" w:firstLine="872"/>
        <w:spacing w:after="0" w:line="258" w:lineRule="auto"/>
        <w:tabs>
          <w:tab w:leader="none" w:pos="171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desires to purchase 631,104 Common Units (the “Units) from Seller and Seller desires to sell the Units to Purchaser under the terms and conditions set forth herein below.</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in consideration of the mutual promises set forth herein, the parties agree and stipulate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78" w:lineRule="exact"/>
        <w:rPr>
          <w:sz w:val="20"/>
          <w:szCs w:val="20"/>
          <w:color w:val="auto"/>
        </w:rPr>
      </w:pPr>
    </w:p>
    <w:p>
      <w:pPr>
        <w:ind w:firstLine="872"/>
        <w:spacing w:after="0" w:line="262" w:lineRule="auto"/>
        <w:tabs>
          <w:tab w:leader="none" w:pos="167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Purchase and Sale</w:t>
      </w:r>
      <w:r>
        <w:rPr>
          <w:rFonts w:ascii="Times New Roman" w:cs="Times New Roman" w:eastAsia="Times New Roman" w:hAnsi="Times New Roman"/>
          <w:sz w:val="22"/>
          <w:szCs w:val="22"/>
          <w:color w:val="auto"/>
        </w:rPr>
        <w:t>. Purchaser shall purchase (the “Purchase”) the Units from Seller and Seller shall sell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to Purchaser for the price and upon the other terms set forth herein.</w:t>
      </w:r>
    </w:p>
    <w:p>
      <w:pPr>
        <w:spacing w:after="0" w:line="149" w:lineRule="exact"/>
        <w:rPr>
          <w:rFonts w:ascii="Times New Roman" w:cs="Times New Roman" w:eastAsia="Times New Roman" w:hAnsi="Times New Roman"/>
          <w:sz w:val="22"/>
          <w:szCs w:val="22"/>
          <w:color w:val="auto"/>
        </w:rPr>
      </w:pPr>
    </w:p>
    <w:p>
      <w:pPr>
        <w:ind w:right="20" w:firstLine="872"/>
        <w:spacing w:after="0" w:line="262" w:lineRule="auto"/>
        <w:tabs>
          <w:tab w:leader="none" w:pos="167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color w:val="auto"/>
        </w:rPr>
        <w:t>. Purchaser shall pay Seller $9.40 per Unit for a total purchase price for the Units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$5,932,377.60 (the “Purchase Price”).</w:t>
      </w:r>
    </w:p>
    <w:p>
      <w:pPr>
        <w:spacing w:after="0" w:line="149" w:lineRule="exact"/>
        <w:rPr>
          <w:rFonts w:ascii="Times New Roman" w:cs="Times New Roman" w:eastAsia="Times New Roman" w:hAnsi="Times New Roman"/>
          <w:sz w:val="22"/>
          <w:szCs w:val="22"/>
          <w:color w:val="auto"/>
        </w:rPr>
      </w:pPr>
    </w:p>
    <w:p>
      <w:pPr>
        <w:ind w:right="20" w:firstLine="872"/>
        <w:spacing w:after="0" w:line="262" w:lineRule="auto"/>
        <w:tabs>
          <w:tab w:leader="none" w:pos="167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Closing shall occur on the 9th day of December 2019 (the “Closing Date”), at the offices of Star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L.P., (9 West Broad Street Street-Suite 310, Stamford, CT 06902.</w:t>
      </w:r>
    </w:p>
    <w:p>
      <w:pPr>
        <w:spacing w:after="0" w:line="149" w:lineRule="exact"/>
        <w:rPr>
          <w:rFonts w:ascii="Times New Roman" w:cs="Times New Roman" w:eastAsia="Times New Roman" w:hAnsi="Times New Roman"/>
          <w:sz w:val="22"/>
          <w:szCs w:val="22"/>
          <w:color w:val="auto"/>
        </w:rPr>
      </w:pPr>
    </w:p>
    <w:p>
      <w:pPr>
        <w:jc w:val="both"/>
        <w:ind w:firstLine="872"/>
        <w:spacing w:after="0" w:line="241" w:lineRule="auto"/>
        <w:tabs>
          <w:tab w:leader="none" w:pos="167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 and Payment for Units</w:t>
      </w:r>
      <w:r>
        <w:rPr>
          <w:rFonts w:ascii="Times New Roman" w:cs="Times New Roman" w:eastAsia="Times New Roman" w:hAnsi="Times New Roman"/>
          <w:sz w:val="22"/>
          <w:szCs w:val="22"/>
          <w:color w:val="auto"/>
        </w:rPr>
        <w:t>. On the Closing Date, Purchaser shall wire the Purchase Price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in accordance with written wire transfer instructions provided to Purchaser by Seller on or before the Closing Date. Upon receipt of the Purchase Price, Seller shall deliver the Units to Purchaser electronically through DTC in accordance with written instructions provided by Purchaser to Seller on or before the Closing Date.</w:t>
      </w:r>
    </w:p>
    <w:p>
      <w:pPr>
        <w:spacing w:after="0" w:line="171"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Seller</w:t>
      </w:r>
      <w:r>
        <w:rPr>
          <w:rFonts w:ascii="Times New Roman" w:cs="Times New Roman" w:eastAsia="Times New Roman" w:hAnsi="Times New Roman"/>
          <w:sz w:val="22"/>
          <w:szCs w:val="22"/>
          <w:color w:val="auto"/>
        </w:rPr>
        <w:t>.  Seller hereby represents and warrants to Purchaser as follows:</w:t>
      </w:r>
    </w:p>
    <w:p>
      <w:pPr>
        <w:spacing w:after="0" w:line="18" w:lineRule="exact"/>
        <w:rPr>
          <w:rFonts w:ascii="Times New Roman" w:cs="Times New Roman" w:eastAsia="Times New Roman" w:hAnsi="Times New Roman"/>
          <w:sz w:val="22"/>
          <w:szCs w:val="22"/>
          <w:color w:val="auto"/>
        </w:rPr>
      </w:pPr>
    </w:p>
    <w:p>
      <w:pPr>
        <w:jc w:val="both"/>
        <w:ind w:firstLine="8"/>
        <w:spacing w:after="0" w:line="233" w:lineRule="auto"/>
        <w:tabs>
          <w:tab w:leader="none" w:pos="26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the Purchase Price as provided in this Agreement, Seller will deliver good and valid title to the Units, free and clear from all liens, claims and encumbrances of any nature whatsoever, other than any liens, claims and encumbrances created by Purchaser, (ii) the execution, delivery and performance of this Agreement has been duly authorized by all necessary action on the part of Seller and this Agreement has been duly executed and delivered on behalf of Seller, and (iii) Seller has the power and authority to execute, deliver and perform this Agreement.</w:t>
      </w:r>
    </w:p>
    <w:p>
      <w:pPr>
        <w:spacing w:after="0" w:line="175"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Purchaser</w:t>
      </w:r>
      <w:r>
        <w:rPr>
          <w:rFonts w:ascii="Times New Roman" w:cs="Times New Roman" w:eastAsia="Times New Roman" w:hAnsi="Times New Roman"/>
          <w:sz w:val="22"/>
          <w:szCs w:val="22"/>
          <w:color w:val="auto"/>
        </w:rPr>
        <w:t>.  Purchaser hereby represents and warrants to Seller as</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182" w:lineRule="exact"/>
        <w:rPr>
          <w:rFonts w:ascii="Times New Roman" w:cs="Times New Roman" w:eastAsia="Times New Roman" w:hAnsi="Times New Roman"/>
          <w:sz w:val="22"/>
          <w:szCs w:val="22"/>
          <w:color w:val="auto"/>
        </w:rPr>
      </w:pPr>
    </w:p>
    <w:p>
      <w:pPr>
        <w:ind w:right="20" w:firstLine="1735"/>
        <w:spacing w:after="0" w:line="258" w:lineRule="auto"/>
        <w:tabs>
          <w:tab w:leader="none" w:pos="2615"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Due Authorization; Binding Agreement</w:t>
      </w:r>
      <w:r>
        <w:rPr>
          <w:rFonts w:ascii="Times New Roman" w:cs="Times New Roman" w:eastAsia="Times New Roman" w:hAnsi="Times New Roman"/>
          <w:sz w:val="22"/>
          <w:szCs w:val="22"/>
          <w:color w:val="auto"/>
        </w:rPr>
        <w:t>. Purchaser is a limited partnership duly organized, validly existing and in good standing under the laws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ind w:left="10060"/>
        <w:spacing w:after="0"/>
        <w:rPr>
          <w:sz w:val="20"/>
          <w:szCs w:val="20"/>
          <w:color w:val="auto"/>
        </w:rPr>
      </w:pPr>
      <w:r>
        <w:rPr>
          <w:rFonts w:ascii="Times New Roman" w:cs="Times New Roman" w:eastAsia="Times New Roman" w:hAnsi="Times New Roman"/>
          <w:sz w:val="21"/>
          <w:szCs w:val="21"/>
          <w:color w:val="auto"/>
        </w:rPr>
        <w:t>Exhibit 10.17</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jurisdiction of organization. The execution, delivery and performance of this Agreement has been duly authorized by all necessary action on the part of Purchaser and Purchaser has the full power and authority to execute and deliver this Agreement, to perform its obligations under this Agreement and to consummate the transactions contemplated hereby. This Agreement has been duly executed and delivered on behalf of Purchaser and constitutes a valid and binding agreement of Purchaser.</w:t>
      </w:r>
    </w:p>
    <w:p>
      <w:pPr>
        <w:spacing w:after="0" w:line="180" w:lineRule="exact"/>
        <w:rPr>
          <w:sz w:val="20"/>
          <w:szCs w:val="20"/>
          <w:color w:val="auto"/>
        </w:rPr>
      </w:pPr>
    </w:p>
    <w:p>
      <w:pPr>
        <w:jc w:val="both"/>
        <w:ind w:firstLine="1735"/>
        <w:spacing w:after="0" w:line="234" w:lineRule="auto"/>
        <w:tabs>
          <w:tab w:leader="none" w:pos="262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and delivery of this Agreement by Purchaser does not, and the performance of the terms of this Agreement by Purchaser will not, (i) contravene or conflict with any certificate of limited partnership, limited partnership agreement or any other similar organizational documents of Purchaser, (ii) require Purchaser to obtain the consent or approval of, or make any filing with or notification to, any governmental body, agency or official of any country or political subdivision of any country, including any federal, national, supranational, state, provincial, local or other government, governmental, regulatory or administrative authority, agency or commission or any court, tribunal, or judicial or arbitral body (“Governmental Authority”), other than any required filing under U.S. federal securities laws, (iii) require the consent or approval of any other person pursuant to any agreement, obligation or instrument binding on Purchaser or its properties and assets, (iv) conflict with or violate any law, rule, regulation, order, judgment or decree applicable to Purchaser or pursuant to which any of its assets are bound or (v) violate any other agreement to which Purchaser is a party.</w:t>
      </w:r>
    </w:p>
    <w:p>
      <w:pPr>
        <w:spacing w:after="0" w:line="179"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To its knowledge, Purchaser has not provided any material non-public information regarding Purchaser to Seller that has not been disclosed to the public prior to the date hereof.</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Purchaser is an “accredited investor” as that term is defined under Securities and Exchange Commission Regulation D.</w:t>
      </w:r>
    </w:p>
    <w:p>
      <w:pPr>
        <w:spacing w:after="0" w:line="15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 of the Units for Own Account</w:t>
      </w:r>
      <w:r>
        <w:rPr>
          <w:rFonts w:ascii="Times New Roman" w:cs="Times New Roman" w:eastAsia="Times New Roman" w:hAnsi="Times New Roman"/>
          <w:sz w:val="22"/>
          <w:szCs w:val="22"/>
          <w:color w:val="auto"/>
        </w:rPr>
        <w:t>. Purchaser is acquiring the Units for its own account and not with a view to, or for resale in connection with, any distribution or public offering thereof within the meaning of the Securities Act of 1933, as amended.</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9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Negotiated Transaction</w:t>
      </w:r>
      <w:r>
        <w:rPr>
          <w:rFonts w:ascii="Times New Roman" w:cs="Times New Roman" w:eastAsia="Times New Roman" w:hAnsi="Times New Roman"/>
          <w:sz w:val="22"/>
          <w:szCs w:val="22"/>
          <w:color w:val="auto"/>
        </w:rPr>
        <w:t>. Purchaser is aware and hereby acknowledges that the purchase and sale of the Units and the transactions contemplated by this Agreement are being made in a private, negotiated transaction between the parties.</w:t>
      </w:r>
    </w:p>
    <w:p>
      <w:pPr>
        <w:spacing w:after="0" w:line="173" w:lineRule="exact"/>
        <w:rPr>
          <w:rFonts w:ascii="Times New Roman" w:cs="Times New Roman" w:eastAsia="Times New Roman" w:hAnsi="Times New Roman"/>
          <w:sz w:val="22"/>
          <w:szCs w:val="22"/>
          <w:color w:val="auto"/>
        </w:rPr>
      </w:pPr>
    </w:p>
    <w:p>
      <w:pPr>
        <w:jc w:val="both"/>
        <w:ind w:right="20" w:firstLine="1735"/>
        <w:spacing w:after="0" w:line="261" w:lineRule="auto"/>
        <w:tabs>
          <w:tab w:leader="none" w:pos="2627"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Reliance</w:t>
      </w:r>
      <w:r>
        <w:rPr>
          <w:rFonts w:ascii="Times New Roman" w:cs="Times New Roman" w:eastAsia="Times New Roman" w:hAnsi="Times New Roman"/>
          <w:sz w:val="21"/>
          <w:szCs w:val="21"/>
          <w:color w:val="auto"/>
        </w:rPr>
        <w:t>. Purchaser hereby acknowledges and agrees that Seller has not made any representation or warranty, express or implied, regarding any aspect of the transactions contemplated by this Agreement except as explicitly set forth in this Agreement, and Seller is not relying on any representation or warranty not contained in this Agreement.</w:t>
      </w:r>
    </w:p>
    <w:p>
      <w:pPr>
        <w:spacing w:after="0" w:line="153" w:lineRule="exact"/>
        <w:rPr>
          <w:rFonts w:ascii="Times New Roman" w:cs="Times New Roman" w:eastAsia="Times New Roman" w:hAnsi="Times New Roman"/>
          <w:sz w:val="21"/>
          <w:szCs w:val="21"/>
          <w:color w:val="auto"/>
        </w:rPr>
      </w:pPr>
    </w:p>
    <w:p>
      <w:pPr>
        <w:ind w:firstLine="872"/>
        <w:spacing w:after="0" w:line="262" w:lineRule="auto"/>
        <w:tabs>
          <w:tab w:leader="none" w:pos="167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Securities Law Representations, Warranties, Covenants, and Releases</w:t>
      </w:r>
      <w:r>
        <w:rPr>
          <w:rFonts w:ascii="Times New Roman" w:cs="Times New Roman" w:eastAsia="Times New Roman" w:hAnsi="Times New Roman"/>
          <w:sz w:val="22"/>
          <w:szCs w:val="22"/>
          <w:color w:val="auto"/>
        </w:rPr>
        <w:t>. In connection with the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hereby represents, warrants and agrees as follows:</w:t>
      </w:r>
    </w:p>
    <w:p>
      <w:pPr>
        <w:spacing w:after="0" w:line="15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informed Seller that Purchaser possesses non-public information (the “Non-Public Information”) concerning Purchaser, including, without limitation, with respect to Purchaser’s results of operations and financial condition as of and for its first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p>
      <w:pPr>
        <w:ind w:left="10060"/>
        <w:spacing w:after="0"/>
        <w:rPr>
          <w:sz w:val="20"/>
          <w:szCs w:val="20"/>
          <w:color w:val="auto"/>
        </w:rPr>
      </w:pPr>
      <w:r>
        <w:rPr>
          <w:rFonts w:ascii="Times New Roman" w:cs="Times New Roman" w:eastAsia="Times New Roman" w:hAnsi="Times New Roman"/>
          <w:sz w:val="21"/>
          <w:szCs w:val="21"/>
          <w:color w:val="auto"/>
        </w:rPr>
        <w:t>Exhibit 10.17</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fiscal quarter ending December 31, 2019, and Purchaser is precluded from disclosing such information to Seller (the “Non-Disclosure”);</w:t>
      </w:r>
    </w:p>
    <w:p>
      <w:pPr>
        <w:spacing w:after="0" w:line="158" w:lineRule="exact"/>
        <w:rPr>
          <w:sz w:val="20"/>
          <w:szCs w:val="20"/>
          <w:color w:val="auto"/>
        </w:rPr>
      </w:pPr>
    </w:p>
    <w:p>
      <w:pPr>
        <w:ind w:firstLine="1735"/>
        <w:spacing w:after="0" w:line="258" w:lineRule="auto"/>
        <w:tabs>
          <w:tab w:leader="none" w:pos="262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Non-Public Information may be indicative of a value of the Units that is higher than the purchase price reflected in the Purchase;</w:t>
      </w:r>
    </w:p>
    <w:p>
      <w:pPr>
        <w:spacing w:after="0" w:line="15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an experienced and sophisticated investor that would qualify as an “accredited investor” as defined in Rule 501 of Regulation D and Seller is knowledgeable in trading equity securities and understands the disadvantage to which Seller is subject on account of the disparity of information as between Purchaser and Seller;</w:t>
      </w:r>
    </w:p>
    <w:p>
      <w:pPr>
        <w:spacing w:after="0" w:line="173"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not relying on any representations, warranties or disclosure from Purchaser or any person acting on Purchaser’s behalf in connection with the Purchase;</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acknowledges that Purchaser is relying on this Agreement in purchasing the Units and would not purchase the Units in the absence of this Agreement; and</w:t>
      </w:r>
    </w:p>
    <w:p>
      <w:pPr>
        <w:spacing w:after="0" w:line="158"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9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hereby waives, releases and forever discharges Purchaser from and against any and all claims, demands, causes of action and liabilities whatsoever, whether known or unknown, both at law and at equity, that it may have against Purchaser on account of the Non-Disclosure, including, without limitation, under Federal and state securities laws, including Section 10(b) or Rule 10b-5 of the Securities Exchange Act of 1934, as amended.</w:t>
      </w:r>
    </w:p>
    <w:p>
      <w:pPr>
        <w:spacing w:after="0" w:line="176" w:lineRule="exact"/>
        <w:rPr>
          <w:rFonts w:ascii="Times New Roman" w:cs="Times New Roman" w:eastAsia="Times New Roman" w:hAnsi="Times New Roman"/>
          <w:sz w:val="22"/>
          <w:szCs w:val="22"/>
          <w:color w:val="auto"/>
        </w:rPr>
      </w:pPr>
    </w:p>
    <w:p>
      <w:pPr>
        <w:ind w:firstLine="872"/>
        <w:spacing w:after="0" w:line="262" w:lineRule="auto"/>
        <w:tabs>
          <w:tab w:leader="none" w:pos="167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Purchaser and Seller shall execute and deliver any further documents of whatsoever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nature which may be reasonably necessary to effectuate and consummate the transaction set forth in this Agreement.</w:t>
      </w:r>
    </w:p>
    <w:p>
      <w:pPr>
        <w:spacing w:after="0" w:line="149"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The representations and warranties contained in this Agreement shall survive indefinitely.</w:t>
      </w:r>
    </w:p>
    <w:p>
      <w:pPr>
        <w:spacing w:after="0" w:line="206" w:lineRule="exact"/>
        <w:rPr>
          <w:rFonts w:ascii="Times New Roman" w:cs="Times New Roman" w:eastAsia="Times New Roman" w:hAnsi="Times New Roman"/>
          <w:sz w:val="22"/>
          <w:szCs w:val="22"/>
          <w:color w:val="auto"/>
        </w:rPr>
      </w:pPr>
    </w:p>
    <w:p>
      <w:pPr>
        <w:ind w:firstLine="872"/>
        <w:spacing w:after="0" w:line="262" w:lineRule="auto"/>
        <w:tabs>
          <w:tab w:leader="none" w:pos="178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be subject to and governed by the laws of the State of New York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conflicts of law principles other than Section 5-1401 of the New York General Obligations Law.</w:t>
      </w:r>
    </w:p>
    <w:p>
      <w:pPr>
        <w:spacing w:after="0" w:line="149"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Agreement shall bind the parties hereto, their legal representatives, their successors</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assigns.</w:t>
      </w:r>
    </w:p>
    <w:p>
      <w:pPr>
        <w:spacing w:after="0" w:line="178" w:lineRule="exact"/>
        <w:rPr>
          <w:rFonts w:ascii="Times New Roman" w:cs="Times New Roman" w:eastAsia="Times New Roman" w:hAnsi="Times New Roman"/>
          <w:sz w:val="22"/>
          <w:szCs w:val="22"/>
          <w:color w:val="auto"/>
        </w:rPr>
      </w:pPr>
    </w:p>
    <w:p>
      <w:pPr>
        <w:jc w:val="both"/>
        <w:ind w:firstLine="872"/>
        <w:spacing w:after="0" w:line="246" w:lineRule="auto"/>
        <w:tabs>
          <w:tab w:leader="none" w:pos="178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and Facsimiles</w:t>
      </w:r>
      <w:r>
        <w:rPr>
          <w:rFonts w:ascii="Times New Roman" w:cs="Times New Roman" w:eastAsia="Times New Roman" w:hAnsi="Times New Roman"/>
          <w:sz w:val="22"/>
          <w:szCs w:val="22"/>
          <w:color w:val="auto"/>
        </w:rPr>
        <w:t>. This Agreement may be executed by facsimile and/or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and/or in multiple counterparts, each of which shall be deemed an original, but all of which together shall constitute one and the same document.</w:t>
      </w:r>
    </w:p>
    <w:p>
      <w:pPr>
        <w:spacing w:after="0" w:line="167" w:lineRule="exact"/>
        <w:rPr>
          <w:rFonts w:ascii="Times New Roman" w:cs="Times New Roman" w:eastAsia="Times New Roman" w:hAnsi="Times New Roman"/>
          <w:sz w:val="22"/>
          <w:szCs w:val="22"/>
          <w:color w:val="auto"/>
        </w:rPr>
      </w:pPr>
    </w:p>
    <w:p>
      <w:pPr>
        <w:ind w:firstLine="872"/>
        <w:spacing w:after="0" w:line="262" w:lineRule="auto"/>
        <w:tabs>
          <w:tab w:leader="none" w:pos="178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entire Agreement among the parties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 hereof and supersedes all other prior and contemporaneous agreements or representations and understandings.</w:t>
      </w:r>
    </w:p>
    <w:p>
      <w:pPr>
        <w:spacing w:after="0" w:line="149" w:lineRule="exact"/>
        <w:rPr>
          <w:rFonts w:ascii="Times New Roman" w:cs="Times New Roman" w:eastAsia="Times New Roman" w:hAnsi="Times New Roman"/>
          <w:sz w:val="22"/>
          <w:szCs w:val="22"/>
          <w:color w:val="auto"/>
        </w:rPr>
      </w:pPr>
    </w:p>
    <w:p>
      <w:pPr>
        <w:jc w:val="both"/>
        <w:ind w:firstLine="872"/>
        <w:spacing w:after="0" w:line="246" w:lineRule="auto"/>
        <w:tabs>
          <w:tab w:leader="none" w:pos="178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such provision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 shall be held invalid, illegal or unenforceable in any respect by a court of competent jurisdiction, such invalidity, illegality or unenforceability shall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0" w:name="page121"/>
    <w:bookmarkEnd w:id="120"/>
    <w:p>
      <w:pPr>
        <w:ind w:left="10060"/>
        <w:spacing w:after="0"/>
        <w:rPr>
          <w:sz w:val="20"/>
          <w:szCs w:val="20"/>
          <w:color w:val="auto"/>
        </w:rPr>
      </w:pPr>
      <w:r>
        <w:rPr>
          <w:rFonts w:ascii="Times New Roman" w:cs="Times New Roman" w:eastAsia="Times New Roman" w:hAnsi="Times New Roman"/>
          <w:sz w:val="21"/>
          <w:szCs w:val="21"/>
          <w:color w:val="auto"/>
        </w:rPr>
        <w:t>Exhibit 10.17</w:t>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 affect any other provision hereof and all other conditions and provisions of this Agreement shall nevertheless remain in full force and effect so long as the essential economic or legal substance of the transactions contemplated hereby is not affected.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7" w:lineRule="exact"/>
        <w:rPr>
          <w:sz w:val="20"/>
          <w:szCs w:val="20"/>
          <w:color w:val="auto"/>
        </w:rPr>
      </w:pPr>
    </w:p>
    <w:p>
      <w:pPr>
        <w:ind w:firstLine="872"/>
        <w:spacing w:after="0" w:line="262" w:lineRule="auto"/>
        <w:tabs>
          <w:tab w:leader="none" w:pos="178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Modification</w:t>
      </w:r>
      <w:r>
        <w:rPr>
          <w:rFonts w:ascii="Times New Roman" w:cs="Times New Roman" w:eastAsia="Times New Roman" w:hAnsi="Times New Roman"/>
          <w:sz w:val="22"/>
          <w:szCs w:val="22"/>
          <w:color w:val="auto"/>
        </w:rPr>
        <w:t>. No supplement, modification or amendment of this Agreement shall be binding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in writing by both of the parties.</w:t>
      </w:r>
    </w:p>
    <w:p>
      <w:pPr>
        <w:spacing w:after="0" w:line="149" w:lineRule="exact"/>
        <w:rPr>
          <w:rFonts w:ascii="Times New Roman" w:cs="Times New Roman" w:eastAsia="Times New Roman" w:hAnsi="Times New Roman"/>
          <w:sz w:val="22"/>
          <w:szCs w:val="22"/>
          <w:color w:val="auto"/>
        </w:rPr>
      </w:pPr>
    </w:p>
    <w:p>
      <w:pPr>
        <w:jc w:val="both"/>
        <w:ind w:firstLine="872"/>
        <w:spacing w:after="0" w:line="246" w:lineRule="auto"/>
        <w:tabs>
          <w:tab w:leader="none" w:pos="178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waiver of any of the provisions of this Agreement shall be deemed, or will constitute, a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other provision, whether or not similar, nor will any waiver constitute a continuing waiver. No waiver shall be binding unless executed in writing by the party making the waiver.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ind w:left="10060"/>
        <w:spacing w:after="0"/>
        <w:rPr>
          <w:sz w:val="20"/>
          <w:szCs w:val="20"/>
          <w:color w:val="auto"/>
        </w:rPr>
      </w:pPr>
      <w:r>
        <w:rPr>
          <w:rFonts w:ascii="Times New Roman" w:cs="Times New Roman" w:eastAsia="Times New Roman" w:hAnsi="Times New Roman"/>
          <w:sz w:val="21"/>
          <w:szCs w:val="21"/>
          <w:color w:val="auto"/>
        </w:rPr>
        <w:t>Exhibit 10.17</w:t>
      </w:r>
    </w:p>
    <w:p>
      <w:pPr>
        <w:spacing w:after="0" w:line="218"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on the day and year first above written.</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PURCHASER:</w:t>
      </w: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STAR GROUP, L.P.</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Kestrel Heat, LLC, general partner</w:t>
      </w:r>
    </w:p>
    <w:p>
      <w:pPr>
        <w:spacing w:after="0" w:line="375"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5"/>
              </w:rPr>
              <w:t>/s/ Richard F. Ambury</w:t>
            </w:r>
          </w:p>
        </w:tc>
      </w:tr>
      <w:tr>
        <w:trPr>
          <w:trHeight w:val="236"/>
        </w:trPr>
        <w:tc>
          <w:tcPr>
            <w:tcW w:w="96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920" w:type="dxa"/>
            <w:vAlign w:val="bottom"/>
            <w:tcBorders>
              <w:top w:val="single" w:sz="8" w:color="auto"/>
            </w:tcBorders>
          </w:tcPr>
          <w:p>
            <w:pPr>
              <w:jc w:val="right"/>
              <w:spacing w:after="0" w:line="236" w:lineRule="exact"/>
              <w:rPr>
                <w:sz w:val="20"/>
                <w:szCs w:val="20"/>
                <w:color w:val="auto"/>
              </w:rPr>
            </w:pPr>
            <w:r>
              <w:rPr>
                <w:rFonts w:ascii="Times New Roman" w:cs="Times New Roman" w:eastAsia="Times New Roman" w:hAnsi="Times New Roman"/>
                <w:sz w:val="22"/>
                <w:szCs w:val="22"/>
                <w:color w:val="auto"/>
              </w:rPr>
              <w:t>Richard F. Ambury</w:t>
            </w:r>
          </w:p>
        </w:tc>
        <w:tc>
          <w:tcPr>
            <w:tcW w:w="20" w:type="dxa"/>
            <w:vAlign w:val="bottom"/>
          </w:tcPr>
          <w:p>
            <w:pPr>
              <w:spacing w:after="0"/>
              <w:rPr>
                <w:sz w:val="20"/>
                <w:szCs w:val="20"/>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SELLER:</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CAT ROCK CAPITAL MANAGEMENT, LP</w:t>
      </w:r>
    </w:p>
    <w:p>
      <w:pPr>
        <w:spacing w:after="0" w:line="200" w:lineRule="exact"/>
        <w:rPr>
          <w:sz w:val="20"/>
          <w:szCs w:val="20"/>
          <w:color w:val="auto"/>
        </w:rPr>
      </w:pPr>
    </w:p>
    <w:p>
      <w:pPr>
        <w:spacing w:after="0" w:line="391"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6"/>
              </w:rPr>
              <w:t>/s/ Andrew Flinn</w:t>
            </w:r>
          </w:p>
        </w:tc>
      </w:tr>
      <w:tr>
        <w:trPr>
          <w:trHeight w:val="236"/>
        </w:trPr>
        <w:tc>
          <w:tcPr>
            <w:tcW w:w="96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460" w:type="dxa"/>
            <w:vAlign w:val="bottom"/>
            <w:tcBorders>
              <w:top w:val="single" w:sz="8" w:color="auto"/>
            </w:tcBorders>
          </w:tcPr>
          <w:p>
            <w:pPr>
              <w:jc w:val="right"/>
              <w:spacing w:after="0" w:line="236" w:lineRule="exact"/>
              <w:rPr>
                <w:sz w:val="20"/>
                <w:szCs w:val="20"/>
                <w:color w:val="auto"/>
              </w:rPr>
            </w:pPr>
            <w:r>
              <w:rPr>
                <w:rFonts w:ascii="Times New Roman" w:cs="Times New Roman" w:eastAsia="Times New Roman" w:hAnsi="Times New Roman"/>
                <w:sz w:val="22"/>
                <w:szCs w:val="22"/>
                <w:color w:val="auto"/>
              </w:rPr>
              <w:t>Andrew Flinn</w:t>
            </w:r>
          </w:p>
        </w:tc>
        <w:tc>
          <w:tcPr>
            <w:tcW w:w="20" w:type="dxa"/>
            <w:vAlign w:val="bottom"/>
          </w:tcPr>
          <w:p>
            <w:pPr>
              <w:spacing w:after="0"/>
              <w:rPr>
                <w:sz w:val="20"/>
                <w:szCs w:val="20"/>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CFO</w:t>
            </w:r>
          </w:p>
        </w:tc>
      </w:tr>
      <w:tr>
        <w:trPr>
          <w:trHeight w:val="891"/>
        </w:trPr>
        <w:tc>
          <w:tcPr>
            <w:tcW w:w="9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5</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WAIVER</w:t>
      </w:r>
    </w:p>
    <w:p>
      <w:pPr>
        <w:spacing w:after="0" w:line="22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WAIVER, dated as of November 5, 2020 (this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to the FIFTH AMENDED AND RESTATED CREDIT AGREEMENT, dated as of December 4, 2019 (as may be further amended, restated, supplemented or otherwise modified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PETROLEUM HEAT AND POWER CO., INC., a Minnesota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(as defined therein) party thereto, the lenders from time to time parties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the other parties named therein.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Lenders, the Administrative Agent, and the other parties named therein are party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Lenders waive compliance with Section 2.16(e) of the Credit Agreement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the fiscal year ending September 30, 2020; and</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Required Lenders have agreed to such waiver on the terms and conditions set forth herein.</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the mutual covenants and obligations herein set forth and for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sufficiency and receipt of which are hereby acknowledged, the parties hereto, intending to be legally bound, hereby agree as follows:</w:t>
      </w:r>
    </w:p>
    <w:p>
      <w:pPr>
        <w:spacing w:after="0" w:line="173" w:lineRule="exact"/>
        <w:rPr>
          <w:sz w:val="20"/>
          <w:szCs w:val="20"/>
          <w:color w:val="auto"/>
        </w:rPr>
      </w:pPr>
    </w:p>
    <w:p>
      <w:pPr>
        <w:ind w:left="1660" w:hanging="788"/>
        <w:spacing w:after="0"/>
        <w:tabs>
          <w:tab w:leader="none" w:pos="166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used herein but not otherwise defined shall have the meanings ascribed to them in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Credit Agreement.</w:t>
      </w:r>
    </w:p>
    <w:p>
      <w:pPr>
        <w:spacing w:after="0" w:line="193" w:lineRule="exact"/>
        <w:rPr>
          <w:rFonts w:ascii="Times New Roman" w:cs="Times New Roman" w:eastAsia="Times New Roman" w:hAnsi="Times New Roman"/>
          <w:sz w:val="19"/>
          <w:szCs w:val="19"/>
          <w:color w:val="auto"/>
        </w:rPr>
      </w:pPr>
    </w:p>
    <w:p>
      <w:pPr>
        <w:jc w:val="both"/>
        <w:ind w:firstLine="872"/>
        <w:spacing w:after="0" w:line="245" w:lineRule="auto"/>
        <w:tabs>
          <w:tab w:leader="none" w:pos="1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to the Credit Agreement</w:t>
      </w:r>
      <w:r>
        <w:rPr>
          <w:rFonts w:ascii="Times New Roman" w:cs="Times New Roman" w:eastAsia="Times New Roman" w:hAnsi="Times New Roman"/>
          <w:sz w:val="20"/>
          <w:szCs w:val="20"/>
          <w:color w:val="auto"/>
        </w:rPr>
        <w:t xml:space="preserve">. Subject to the satisfaction of the conditions precedent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as of the Effective Date, the Required Lenders hereby waive compliance with Section 2.16(e) of the Credit Agreement solely with respect to the fiscal year ending September 30, 2020;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foregoing waiver shall not be deemed to modify or affect the obligations of the Borrower to comply with each and every obligation, covenant, duty, or agreement under the Credit Agreement and the other Loan Documents, in each case as amended, restated, supplemented or otherwise modified, from and after the date hereof (after giving effect to this Waiver).</w:t>
      </w:r>
    </w:p>
    <w:p>
      <w:pPr>
        <w:spacing w:after="0" w:line="184" w:lineRule="exact"/>
        <w:rPr>
          <w:rFonts w:ascii="Times New Roman" w:cs="Times New Roman" w:eastAsia="Times New Roman" w:hAnsi="Times New Roman"/>
          <w:sz w:val="20"/>
          <w:szCs w:val="20"/>
          <w:color w:val="auto"/>
        </w:rPr>
      </w:pPr>
    </w:p>
    <w:p>
      <w:pPr>
        <w:ind w:firstLine="872"/>
        <w:spacing w:after="0" w:line="269" w:lineRule="auto"/>
        <w:tabs>
          <w:tab w:leader="none" w:pos="1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the Waiver</w:t>
      </w:r>
      <w:r>
        <w:rPr>
          <w:rFonts w:ascii="Times New Roman" w:cs="Times New Roman" w:eastAsia="Times New Roman" w:hAnsi="Times New Roman"/>
          <w:sz w:val="20"/>
          <w:szCs w:val="20"/>
          <w:color w:val="auto"/>
        </w:rPr>
        <w:t>. The Waiver shall become effective as of the date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when, and only when, each of the following conditions precedent shall have been satisfied:</w:t>
      </w:r>
    </w:p>
    <w:p>
      <w:pPr>
        <w:spacing w:after="0" w:line="159" w:lineRule="exact"/>
        <w:rPr>
          <w:sz w:val="20"/>
          <w:szCs w:val="20"/>
          <w:color w:val="auto"/>
        </w:rPr>
      </w:pPr>
    </w:p>
    <w:p>
      <w:pPr>
        <w:ind w:left="1740" w:hanging="868"/>
        <w:spacing w:after="0"/>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an executed counterpart hereof from the Loan Parties and the Required</w:t>
      </w:r>
    </w:p>
    <w:p>
      <w:pPr>
        <w:spacing w:after="0" w:line="21"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w:t>
      </w:r>
    </w:p>
    <w:p>
      <w:pPr>
        <w:spacing w:after="0" w:line="193" w:lineRule="exact"/>
        <w:rPr>
          <w:rFonts w:ascii="Times New Roman" w:cs="Times New Roman" w:eastAsia="Times New Roman" w:hAnsi="Times New Roman"/>
          <w:sz w:val="20"/>
          <w:szCs w:val="20"/>
          <w:color w:val="auto"/>
        </w:rPr>
      </w:pPr>
    </w:p>
    <w:p>
      <w:pPr>
        <w:jc w:val="both"/>
        <w:ind w:left="880" w:hanging="8"/>
        <w:spacing w:after="0" w:line="246" w:lineRule="auto"/>
        <w:tabs>
          <w:tab w:leader="none" w:pos="175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for the account of each Lender that executes and delivers to the Administrative Agent a signature page to this Waiver on or prior to the Effective Date (each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 consent fee in an amount equal to 0.025% of the sum of the Revolving Commitment of such Consenting Lender plus the outstanding principal amount of the Term Loans held by such Consenting Lender, in each case, immediately prior to the Effective Date, which consent fee shall be earned, due and payable on, and subject to the occurrence of, the Effective Date;</w:t>
      </w:r>
    </w:p>
    <w:p>
      <w:pPr>
        <w:spacing w:after="0" w:line="184" w:lineRule="exact"/>
        <w:rPr>
          <w:rFonts w:ascii="Times New Roman" w:cs="Times New Roman" w:eastAsia="Times New Roman" w:hAnsi="Times New Roman"/>
          <w:sz w:val="20"/>
          <w:szCs w:val="20"/>
          <w:color w:val="auto"/>
        </w:rPr>
      </w:pPr>
    </w:p>
    <w:p>
      <w:pPr>
        <w:ind w:left="880" w:hanging="8"/>
        <w:spacing w:after="0" w:line="269" w:lineRule="auto"/>
        <w:tabs>
          <w:tab w:leader="none" w:pos="17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Effective Date, the representations and warranties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below shall be true and correct in all material respects;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5" w:lineRule="exact"/>
        <w:rPr>
          <w:sz w:val="20"/>
          <w:szCs w:val="20"/>
          <w:color w:val="auto"/>
        </w:rPr>
      </w:pPr>
    </w:p>
    <w:p>
      <w:pPr>
        <w:ind w:left="880" w:hanging="8"/>
        <w:spacing w:after="0" w:line="269" w:lineRule="auto"/>
        <w:tabs>
          <w:tab w:leader="none" w:pos="175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4, 2019, both immediately before and after giving effect to this Waiver, there has not occurred any event, development or circumstance that has had or could reasonably be expected to have a Material Adverse Effect.</w:t>
      </w:r>
    </w:p>
    <w:p>
      <w:pPr>
        <w:spacing w:after="0" w:line="159" w:lineRule="exact"/>
        <w:rPr>
          <w:sz w:val="20"/>
          <w:szCs w:val="20"/>
          <w:color w:val="auto"/>
        </w:rPr>
      </w:pPr>
    </w:p>
    <w:p>
      <w:pPr>
        <w:jc w:val="both"/>
        <w:ind w:firstLine="872"/>
        <w:spacing w:after="0" w:line="243" w:lineRule="auto"/>
        <w:tabs>
          <w:tab w:leader="none" w:pos="16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Borrower hereby represents and warrants, on and as of the Effective Date, that (i) the representations and warranties contained in the Credit Agreement and the other Loan Documents are true and correct in all material respects on and as of the Effective Date, both immediately before and after giving effect to this Waiver (except to the extent any such representation or warranty is expressly stated to have been made as of a specific date, in which case such representation or warranty shall be true and correct in all material respects as of such date), (ii) this Waiver has been duly authorized, executed and delivered by the Loan Parties and constitutes the legal, valid and binding obligation of each Loan Party enforceable against it in accordance with its terms and (iii) no Default or Event of Default shall have occurred and be continuing on the Effective Date, both immediately before and after giving effect to this Waiver.</w:t>
      </w:r>
    </w:p>
    <w:p>
      <w:pPr>
        <w:spacing w:after="0" w:line="202" w:lineRule="exact"/>
        <w:rPr>
          <w:rFonts w:ascii="Times New Roman" w:cs="Times New Roman" w:eastAsia="Times New Roman" w:hAnsi="Times New Roman"/>
          <w:sz w:val="20"/>
          <w:szCs w:val="20"/>
          <w:color w:val="auto"/>
        </w:rPr>
      </w:pPr>
    </w:p>
    <w:p>
      <w:pPr>
        <w:jc w:val="both"/>
        <w:ind w:firstLine="872"/>
        <w:spacing w:after="0" w:line="242" w:lineRule="auto"/>
        <w:tabs>
          <w:tab w:leader="none" w:pos="16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 and Confirmation of the Loan Parties</w:t>
      </w:r>
      <w:r>
        <w:rPr>
          <w:rFonts w:ascii="Times New Roman" w:cs="Times New Roman" w:eastAsia="Times New Roman" w:hAnsi="Times New Roman"/>
          <w:sz w:val="20"/>
          <w:szCs w:val="20"/>
          <w:color w:val="auto"/>
        </w:rPr>
        <w:t>. Each Loan Party hereby confirms and agrees that, after giving effect to this Waiver, the Credit Agreement and the other Loan Documents to which it is a party remain in full force and effect and enforceable against such Loan Party in accordance with their respective terms and shall not be discharged, diminished, limited or otherwise affected in any respect, and represents and warrants to the Lenders that it has no knowledge of any claims, counterclaims, offsets, or defenses to or with respect to its obligations under the Loan Documents, or if such Loan Party has any such claims, counterclaims, offsets, or defenses to the Loan Documents or any transaction related to the Loan Documents, the same are hereby waived, relinquished, and released in consideration of the execution of this Waiver. This acknowledgement and confirmation by each Loan Party is made and delivered to induce the Administrative Agent and the Lenders to enter into this Waiver, and each Loan Party acknowledges that the Administrative Agent and the Lenders would not enter into this Waiver in the absence of the acknowledgement and confirmation contained herein. This Waiver shall constitute a Loan Document under the terms of the Credit Agreement.</w:t>
      </w:r>
    </w:p>
    <w:p>
      <w:pPr>
        <w:spacing w:after="0" w:line="192" w:lineRule="exact"/>
        <w:rPr>
          <w:rFonts w:ascii="Times New Roman" w:cs="Times New Roman" w:eastAsia="Times New Roman" w:hAnsi="Times New Roman"/>
          <w:sz w:val="20"/>
          <w:szCs w:val="20"/>
          <w:color w:val="auto"/>
        </w:rPr>
      </w:pPr>
    </w:p>
    <w:p>
      <w:pPr>
        <w:jc w:val="both"/>
        <w:ind w:firstLine="872"/>
        <w:spacing w:after="0" w:line="254" w:lineRule="auto"/>
        <w:tabs>
          <w:tab w:leader="none" w:pos="16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Waiver</w:t>
      </w:r>
      <w:r>
        <w:rPr>
          <w:rFonts w:ascii="Times New Roman" w:cs="Times New Roman" w:eastAsia="Times New Roman" w:hAnsi="Times New Roman"/>
          <w:sz w:val="20"/>
          <w:szCs w:val="20"/>
          <w:color w:val="auto"/>
        </w:rPr>
        <w:t>. This Waiver is a one-time waiver and does not constitute a waiver of any other provision of the Credit Agreement or the other Loan Documents, or any other right, power or remedy of the Lenders thereunder. This Waiver is limited as specified herein and shall not constitute a modification, acceptance or waiver of any other provision of the Loan Documents.</w:t>
      </w:r>
    </w:p>
    <w:p>
      <w:pPr>
        <w:spacing w:after="0" w:line="174" w:lineRule="exact"/>
        <w:rPr>
          <w:rFonts w:ascii="Times New Roman" w:cs="Times New Roman" w:eastAsia="Times New Roman" w:hAnsi="Times New Roman"/>
          <w:sz w:val="20"/>
          <w:szCs w:val="20"/>
          <w:color w:val="auto"/>
        </w:rPr>
      </w:pPr>
    </w:p>
    <w:p>
      <w:pPr>
        <w:jc w:val="both"/>
        <w:ind w:firstLine="872"/>
        <w:spacing w:after="0" w:line="254" w:lineRule="auto"/>
        <w:tabs>
          <w:tab w:leader="none" w:pos="16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Waiver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auto"/>
        </w:rPr>
      </w:pPr>
    </w:p>
    <w:p>
      <w:pPr>
        <w:ind w:right="20" w:firstLine="872"/>
        <w:spacing w:after="0" w:line="269" w:lineRule="auto"/>
        <w:tabs>
          <w:tab w:leader="none" w:pos="16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and captions used in this Waiver are included for convenience of reference only and shall not be given any substantive effect.</w:t>
      </w:r>
    </w:p>
    <w:p>
      <w:pPr>
        <w:spacing w:after="0" w:line="159" w:lineRule="exact"/>
        <w:rPr>
          <w:rFonts w:ascii="Times New Roman" w:cs="Times New Roman" w:eastAsia="Times New Roman" w:hAnsi="Times New Roman"/>
          <w:sz w:val="20"/>
          <w:szCs w:val="20"/>
          <w:color w:val="auto"/>
        </w:rPr>
      </w:pPr>
    </w:p>
    <w:p>
      <w:pPr>
        <w:ind w:firstLine="872"/>
        <w:spacing w:after="0" w:line="269" w:lineRule="auto"/>
        <w:tabs>
          <w:tab w:leader="none" w:pos="175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w:t>
      </w:r>
      <w:r>
        <w:rPr>
          <w:rFonts w:ascii="Times New Roman" w:cs="Times New Roman" w:eastAsia="Times New Roman" w:hAnsi="Times New Roman"/>
          <w:sz w:val="20"/>
          <w:szCs w:val="20"/>
          <w:color w:val="auto"/>
        </w:rPr>
        <w:t>. This Waiver shall be construed in accordance with and governed by the laws of the State of New York.</w:t>
      </w:r>
    </w:p>
    <w:p>
      <w:pPr>
        <w:spacing w:after="0" w:line="16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b w:val="1"/>
          <w:bCs w:val="1"/>
          <w:color w:val="auto"/>
        </w:rPr>
        <w:t>.  EACH PARTY HERETO HEREBY WAIVES, TO THE FULLEST EXTENT</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PERMITTED BY APPLICABLE LAW, ANY RIGHT IT MAY HAVE TO A TRIAL BY JURY IN RESPECT OF ANY LITIGATION DIRECTLY OR INDIRECTLY ARISING OUT OF, UNDER OR IN CONNECTION WITH THIS WAIVER OR ANY OTHER LOAN DOCUMENT.</w:t>
      </w:r>
    </w:p>
    <w:p>
      <w:pPr>
        <w:spacing w:after="0" w:line="187" w:lineRule="exact"/>
        <w:rPr>
          <w:sz w:val="20"/>
          <w:szCs w:val="20"/>
          <w:color w:val="auto"/>
        </w:rPr>
      </w:pPr>
    </w:p>
    <w:p>
      <w:pPr>
        <w:ind w:right="20" w:firstLine="872"/>
        <w:spacing w:after="0" w:line="269" w:lineRule="auto"/>
        <w:tabs>
          <w:tab w:leader="none" w:pos="175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agrees to pay all reasonable out-of-pocket expenses incurred by the Administrative Agent in connection with the preparation of this Waiver (whether or not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4" w:name="page125"/>
    <w:bookmarkEnd w:id="124"/>
    <w:p>
      <w:pPr>
        <w:ind w:left="1002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transactions hereby contemplated shall be consummated) including the reasonable fees and disbursements of counsel to the Administrative Agent.</w:t>
      </w:r>
    </w:p>
    <w:p>
      <w:pPr>
        <w:spacing w:after="0" w:line="159" w:lineRule="exact"/>
        <w:rPr>
          <w:sz w:val="20"/>
          <w:szCs w:val="20"/>
          <w:color w:val="auto"/>
        </w:rPr>
      </w:pPr>
    </w:p>
    <w:p>
      <w:pPr>
        <w:jc w:val="both"/>
        <w:ind w:firstLine="872"/>
        <w:spacing w:after="0" w:line="241" w:lineRule="auto"/>
        <w:tabs>
          <w:tab w:leader="none" w:pos="17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w:t>
      </w:r>
      <w:r>
        <w:rPr>
          <w:rFonts w:ascii="Times New Roman" w:cs="Times New Roman" w:eastAsia="Times New Roman" w:hAnsi="Times New Roman"/>
          <w:sz w:val="20"/>
          <w:szCs w:val="20"/>
          <w:color w:val="auto"/>
        </w:rPr>
        <w:t>. This Waiver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Waiver by facsimile or in electronic (i.e., “pdf” or “tif”) format shall be effective as delivery of a manually executed counterpart of this Waiver. The words “execution,” “signed,” “signature,” “delivery,” and words of like import in or relating to this Waiver and/or any document to be signed in connection with this Waiver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 This Waiver constitutes the entire agreement and understanding among the parties hereto with respect to the subject matter hereof and supersedes any and all prior agreements and understandings, oral or written, relating to the subject matter hereof.</w:t>
      </w:r>
    </w:p>
    <w:p>
      <w:pPr>
        <w:spacing w:after="0" w:line="19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Waiver to be duly executed by their duly authorized officers,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day and year first above written.</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PETROLEUM HEAT AND POWER CO., INC.</w:t>
      </w:r>
    </w:p>
    <w:p>
      <w:pPr>
        <w:spacing w:after="0" w:line="2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Richard F. Ambury</w:t>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Richard F. Ambury</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A.P. WOODSON COMPANY</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CHAMPION ENERGY LLC</w:t>
      </w:r>
    </w:p>
    <w:p>
      <w:pPr>
        <w:ind w:left="5200"/>
        <w:spacing w:after="0"/>
        <w:rPr>
          <w:sz w:val="20"/>
          <w:szCs w:val="20"/>
          <w:color w:val="auto"/>
        </w:rPr>
      </w:pPr>
      <w:r>
        <w:rPr>
          <w:rFonts w:ascii="Times New Roman" w:cs="Times New Roman" w:eastAsia="Times New Roman" w:hAnsi="Times New Roman"/>
          <w:sz w:val="20"/>
          <w:szCs w:val="20"/>
          <w:b w:val="1"/>
          <w:bCs w:val="1"/>
          <w:color w:val="auto"/>
        </w:rPr>
        <w:t>COLUMBIA PETROLEUM</w:t>
      </w:r>
    </w:p>
    <w:p>
      <w:pPr>
        <w:ind w:left="5340"/>
        <w:spacing w:after="0"/>
        <w:rPr>
          <w:sz w:val="20"/>
          <w:szCs w:val="20"/>
          <w:color w:val="auto"/>
        </w:rPr>
      </w:pPr>
      <w:r>
        <w:rPr>
          <w:rFonts w:ascii="Times New Roman" w:cs="Times New Roman" w:eastAsia="Times New Roman" w:hAnsi="Times New Roman"/>
          <w:sz w:val="20"/>
          <w:szCs w:val="20"/>
          <w:b w:val="1"/>
          <w:bCs w:val="1"/>
          <w:color w:val="auto"/>
        </w:rPr>
        <w:t>TRANSPORTATION, LLC</w:t>
      </w:r>
    </w:p>
    <w:p>
      <w:pPr>
        <w:ind w:left="5200"/>
        <w:spacing w:after="0"/>
        <w:rPr>
          <w:sz w:val="20"/>
          <w:szCs w:val="20"/>
          <w:color w:val="auto"/>
        </w:rPr>
      </w:pPr>
      <w:r>
        <w:rPr>
          <w:rFonts w:ascii="Times New Roman" w:cs="Times New Roman" w:eastAsia="Times New Roman" w:hAnsi="Times New Roman"/>
          <w:sz w:val="20"/>
          <w:szCs w:val="20"/>
          <w:b w:val="1"/>
          <w:bCs w:val="1"/>
          <w:color w:val="auto"/>
        </w:rPr>
        <w:t>GRIFFITH ENERGY SERVICES, INC.</w:t>
      </w:r>
    </w:p>
    <w:p>
      <w:pPr>
        <w:ind w:left="5200"/>
        <w:spacing w:after="0"/>
        <w:rPr>
          <w:sz w:val="20"/>
          <w:szCs w:val="20"/>
          <w:color w:val="auto"/>
        </w:rPr>
      </w:pPr>
      <w:r>
        <w:rPr>
          <w:rFonts w:ascii="Times New Roman" w:cs="Times New Roman" w:eastAsia="Times New Roman" w:hAnsi="Times New Roman"/>
          <w:sz w:val="20"/>
          <w:szCs w:val="20"/>
          <w:b w:val="1"/>
          <w:bCs w:val="1"/>
          <w:color w:val="auto"/>
        </w:rPr>
        <w:t>GRIFFITH-ALLIED TRUCKING, LLC</w:t>
      </w:r>
    </w:p>
    <w:p>
      <w:pPr>
        <w:ind w:left="5200"/>
        <w:spacing w:after="0"/>
        <w:rPr>
          <w:sz w:val="20"/>
          <w:szCs w:val="20"/>
          <w:color w:val="auto"/>
        </w:rPr>
      </w:pPr>
      <w:r>
        <w:rPr>
          <w:rFonts w:ascii="Times New Roman" w:cs="Times New Roman" w:eastAsia="Times New Roman" w:hAnsi="Times New Roman"/>
          <w:sz w:val="20"/>
          <w:szCs w:val="20"/>
          <w:b w:val="1"/>
          <w:bCs w:val="1"/>
          <w:color w:val="auto"/>
        </w:rPr>
        <w:t>HOFFMAN FUEL COMPANY OF DANBURY</w:t>
      </w:r>
    </w:p>
    <w:p>
      <w:pPr>
        <w:ind w:left="5200"/>
        <w:spacing w:after="0"/>
        <w:rPr>
          <w:sz w:val="20"/>
          <w:szCs w:val="20"/>
          <w:color w:val="auto"/>
        </w:rPr>
      </w:pPr>
      <w:r>
        <w:rPr>
          <w:rFonts w:ascii="Times New Roman" w:cs="Times New Roman" w:eastAsia="Times New Roman" w:hAnsi="Times New Roman"/>
          <w:sz w:val="20"/>
          <w:szCs w:val="20"/>
          <w:b w:val="1"/>
          <w:bCs w:val="1"/>
          <w:color w:val="auto"/>
        </w:rPr>
        <w:t>MILRO GROUP LLC</w:t>
      </w:r>
    </w:p>
    <w:p>
      <w:pPr>
        <w:ind w:left="5200"/>
        <w:spacing w:after="0"/>
        <w:rPr>
          <w:sz w:val="20"/>
          <w:szCs w:val="20"/>
          <w:color w:val="auto"/>
        </w:rPr>
      </w:pPr>
      <w:r>
        <w:rPr>
          <w:rFonts w:ascii="Times New Roman" w:cs="Times New Roman" w:eastAsia="Times New Roman" w:hAnsi="Times New Roman"/>
          <w:sz w:val="20"/>
          <w:szCs w:val="20"/>
          <w:b w:val="1"/>
          <w:bCs w:val="1"/>
          <w:color w:val="auto"/>
        </w:rPr>
        <w:t>MEENAN HOLDINGS LLC</w:t>
      </w:r>
    </w:p>
    <w:p>
      <w:pPr>
        <w:ind w:left="5200"/>
        <w:spacing w:after="0"/>
        <w:rPr>
          <w:sz w:val="20"/>
          <w:szCs w:val="20"/>
          <w:color w:val="auto"/>
        </w:rPr>
      </w:pPr>
      <w:r>
        <w:rPr>
          <w:rFonts w:ascii="Times New Roman" w:cs="Times New Roman" w:eastAsia="Times New Roman" w:hAnsi="Times New Roman"/>
          <w:sz w:val="20"/>
          <w:szCs w:val="20"/>
          <w:b w:val="1"/>
          <w:bCs w:val="1"/>
          <w:color w:val="auto"/>
        </w:rPr>
        <w:t>MEENAN OIL LLC</w:t>
      </w:r>
    </w:p>
    <w:p>
      <w:pPr>
        <w:ind w:left="5200"/>
        <w:spacing w:after="0"/>
        <w:rPr>
          <w:sz w:val="20"/>
          <w:szCs w:val="20"/>
          <w:color w:val="auto"/>
        </w:rPr>
      </w:pPr>
      <w:r>
        <w:rPr>
          <w:rFonts w:ascii="Times New Roman" w:cs="Times New Roman" w:eastAsia="Times New Roman" w:hAnsi="Times New Roman"/>
          <w:sz w:val="20"/>
          <w:szCs w:val="20"/>
          <w:b w:val="1"/>
          <w:bCs w:val="1"/>
          <w:color w:val="auto"/>
        </w:rPr>
        <w:t>MINNWHALE LLC</w:t>
      </w:r>
    </w:p>
    <w:p>
      <w:pPr>
        <w:ind w:left="5200"/>
        <w:spacing w:after="0"/>
        <w:rPr>
          <w:sz w:val="20"/>
          <w:szCs w:val="20"/>
          <w:color w:val="auto"/>
        </w:rPr>
      </w:pPr>
      <w:r>
        <w:rPr>
          <w:rFonts w:ascii="Times New Roman" w:cs="Times New Roman" w:eastAsia="Times New Roman" w:hAnsi="Times New Roman"/>
          <w:sz w:val="20"/>
          <w:szCs w:val="20"/>
          <w:b w:val="1"/>
          <w:bCs w:val="1"/>
          <w:color w:val="auto"/>
        </w:rPr>
        <w:t>ORTEP OF PENNSYLVANIA, INC.</w:t>
      </w:r>
    </w:p>
    <w:p>
      <w:pPr>
        <w:ind w:left="5200"/>
        <w:spacing w:after="0"/>
        <w:rPr>
          <w:sz w:val="20"/>
          <w:szCs w:val="20"/>
          <w:color w:val="auto"/>
        </w:rPr>
      </w:pPr>
      <w:r>
        <w:rPr>
          <w:rFonts w:ascii="Times New Roman" w:cs="Times New Roman" w:eastAsia="Times New Roman" w:hAnsi="Times New Roman"/>
          <w:sz w:val="20"/>
          <w:szCs w:val="20"/>
          <w:b w:val="1"/>
          <w:bCs w:val="1"/>
          <w:color w:val="auto"/>
        </w:rPr>
        <w:t>PETRO HOLDINGS, INC.</w:t>
      </w:r>
    </w:p>
    <w:p>
      <w:pPr>
        <w:ind w:left="5200"/>
        <w:spacing w:after="0"/>
        <w:rPr>
          <w:sz w:val="20"/>
          <w:szCs w:val="20"/>
          <w:color w:val="auto"/>
        </w:rPr>
      </w:pPr>
      <w:r>
        <w:rPr>
          <w:rFonts w:ascii="Times New Roman" w:cs="Times New Roman" w:eastAsia="Times New Roman" w:hAnsi="Times New Roman"/>
          <w:sz w:val="20"/>
          <w:szCs w:val="20"/>
          <w:b w:val="1"/>
          <w:bCs w:val="1"/>
          <w:color w:val="auto"/>
        </w:rPr>
        <w:t>PETRO PLUMBING CORPORATION</w:t>
      </w:r>
    </w:p>
    <w:p>
      <w:pPr>
        <w:ind w:left="5200"/>
        <w:spacing w:after="0"/>
        <w:rPr>
          <w:sz w:val="20"/>
          <w:szCs w:val="20"/>
          <w:color w:val="auto"/>
        </w:rPr>
      </w:pPr>
      <w:r>
        <w:rPr>
          <w:rFonts w:ascii="Times New Roman" w:cs="Times New Roman" w:eastAsia="Times New Roman" w:hAnsi="Times New Roman"/>
          <w:sz w:val="20"/>
          <w:szCs w:val="20"/>
          <w:b w:val="1"/>
          <w:bCs w:val="1"/>
          <w:color w:val="auto"/>
        </w:rPr>
        <w:t>PETRO, INC.</w:t>
      </w:r>
    </w:p>
    <w:p>
      <w:pPr>
        <w:ind w:left="5200"/>
        <w:spacing w:after="0"/>
        <w:rPr>
          <w:sz w:val="20"/>
          <w:szCs w:val="20"/>
          <w:color w:val="auto"/>
        </w:rPr>
      </w:pPr>
      <w:r>
        <w:rPr>
          <w:rFonts w:ascii="Times New Roman" w:cs="Times New Roman" w:eastAsia="Times New Roman" w:hAnsi="Times New Roman"/>
          <w:sz w:val="20"/>
          <w:szCs w:val="20"/>
          <w:b w:val="1"/>
          <w:bCs w:val="1"/>
          <w:color w:val="auto"/>
        </w:rPr>
        <w:t>REGIONOIL PLUMBING, HEATING AND COOLING CO., INC.</w:t>
      </w:r>
    </w:p>
    <w:p>
      <w:pPr>
        <w:ind w:left="5200"/>
        <w:spacing w:after="0"/>
        <w:rPr>
          <w:sz w:val="20"/>
          <w:szCs w:val="20"/>
          <w:color w:val="auto"/>
        </w:rPr>
      </w:pPr>
      <w:r>
        <w:rPr>
          <w:rFonts w:ascii="Times New Roman" w:cs="Times New Roman" w:eastAsia="Times New Roman" w:hAnsi="Times New Roman"/>
          <w:sz w:val="20"/>
          <w:szCs w:val="20"/>
          <w:b w:val="1"/>
          <w:bCs w:val="1"/>
          <w:color w:val="auto"/>
        </w:rPr>
        <w:t>RICHLAND PARTNERS, LLC</w:t>
      </w:r>
    </w:p>
    <w:p>
      <w:pPr>
        <w:ind w:left="5200"/>
        <w:spacing w:after="0"/>
        <w:rPr>
          <w:sz w:val="20"/>
          <w:szCs w:val="20"/>
          <w:color w:val="auto"/>
        </w:rPr>
      </w:pPr>
      <w:r>
        <w:rPr>
          <w:rFonts w:ascii="Times New Roman" w:cs="Times New Roman" w:eastAsia="Times New Roman" w:hAnsi="Times New Roman"/>
          <w:sz w:val="20"/>
          <w:szCs w:val="20"/>
          <w:b w:val="1"/>
          <w:bCs w:val="1"/>
          <w:color w:val="auto"/>
        </w:rPr>
        <w:t>RYE FUEL COMPANY</w:t>
      </w:r>
    </w:p>
    <w:p>
      <w:pPr>
        <w:ind w:left="5200"/>
        <w:spacing w:after="0"/>
        <w:rPr>
          <w:sz w:val="20"/>
          <w:szCs w:val="20"/>
          <w:color w:val="auto"/>
        </w:rPr>
      </w:pPr>
      <w:r>
        <w:rPr>
          <w:rFonts w:ascii="Times New Roman" w:cs="Times New Roman" w:eastAsia="Times New Roman" w:hAnsi="Times New Roman"/>
          <w:sz w:val="20"/>
          <w:szCs w:val="20"/>
          <w:b w:val="1"/>
          <w:bCs w:val="1"/>
          <w:color w:val="auto"/>
        </w:rPr>
        <w:t>STAR ACQUISITIONS, INC.</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Richard F. Ambury</w:t>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Richard F. Ambury</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STAR GROUP, L.P.</w:t>
      </w:r>
    </w:p>
    <w:p>
      <w:pPr>
        <w:spacing w:after="0" w:line="2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KESTREL HEAT, LLC</w:t>
      </w:r>
      <w:r>
        <w:rPr>
          <w:rFonts w:ascii="Times New Roman" w:cs="Times New Roman" w:eastAsia="Times New Roman" w:hAnsi="Times New Roman"/>
          <w:sz w:val="20"/>
          <w:szCs w:val="20"/>
          <w:color w:val="auto"/>
        </w:rPr>
        <w:t>, its General Partner</w:t>
      </w:r>
    </w:p>
    <w:p>
      <w:pPr>
        <w:spacing w:after="0" w:line="2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Richard F. Ambury</w:t>
      </w:r>
    </w:p>
    <w:p>
      <w:pPr>
        <w:spacing w:after="0" w:line="23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Richard F. Ambury</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MEENAN OIL CO., L.P.</w:t>
      </w:r>
    </w:p>
    <w:p>
      <w:pPr>
        <w:spacing w:after="0" w:line="2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MEENAN OIL LLC</w:t>
      </w:r>
      <w:r>
        <w:rPr>
          <w:rFonts w:ascii="Times New Roman" w:cs="Times New Roman" w:eastAsia="Times New Roman" w:hAnsi="Times New Roman"/>
          <w:sz w:val="20"/>
          <w:szCs w:val="20"/>
          <w:color w:val="auto"/>
        </w:rPr>
        <w:t>, its General Partner</w:t>
      </w:r>
    </w:p>
    <w:p>
      <w:pPr>
        <w:spacing w:after="0" w:line="2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Richard F. Ambury</w:t>
      </w:r>
    </w:p>
    <w:p>
      <w:pPr>
        <w:spacing w:after="0" w:line="23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Richard F. Ambury</w:t>
      </w:r>
    </w:p>
    <w:p>
      <w:pPr>
        <w:spacing w:after="0" w:line="2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CFS LLC</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RICHLAND PARTNERS, LLC</w:t>
      </w:r>
      <w:r>
        <w:rPr>
          <w:rFonts w:ascii="Times New Roman" w:cs="Times New Roman" w:eastAsia="Times New Roman" w:hAnsi="Times New Roman"/>
          <w:sz w:val="20"/>
          <w:szCs w:val="20"/>
          <w:color w:val="auto"/>
        </w:rPr>
        <w:t>, its Sole Member</w:t>
      </w:r>
    </w:p>
    <w:p>
      <w:pPr>
        <w:spacing w:after="0" w:line="200" w:lineRule="exact"/>
        <w:rPr>
          <w:sz w:val="20"/>
          <w:szCs w:val="20"/>
          <w:color w:val="auto"/>
        </w:rPr>
      </w:pP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Richard F. Ambury</w:t>
      </w:r>
    </w:p>
    <w:p>
      <w:pPr>
        <w:spacing w:after="0" w:line="28" w:lineRule="exact"/>
        <w:rPr>
          <w:sz w:val="20"/>
          <w:szCs w:val="20"/>
          <w:color w:val="auto"/>
        </w:rPr>
      </w:pPr>
    </w:p>
    <w:p>
      <w:pPr>
        <w:ind w:left="4080"/>
        <w:spacing w:after="0"/>
        <w:tabs>
          <w:tab w:leader="none" w:pos="52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Richard F. Ambury</w:t>
      </w:r>
    </w:p>
    <w:p>
      <w:pPr>
        <w:ind w:left="4080"/>
        <w:spacing w:after="0"/>
        <w:tabs>
          <w:tab w:leader="none" w:pos="50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 Executive Vice</w:t>
      </w:r>
    </w:p>
    <w:p>
      <w:pPr>
        <w:ind w:left="4540"/>
        <w:spacing w:after="0"/>
        <w:rPr>
          <w:sz w:val="20"/>
          <w:szCs w:val="20"/>
          <w:color w:val="auto"/>
        </w:rPr>
      </w:pPr>
      <w:r>
        <w:rPr>
          <w:rFonts w:ascii="Times New Roman" w:cs="Times New Roman" w:eastAsia="Times New Roman" w:hAnsi="Times New Roman"/>
          <w:sz w:val="20"/>
          <w:szCs w:val="20"/>
          <w:color w:val="auto"/>
        </w:rPr>
        <w:t>President, Treasurer and Secretary</w:t>
      </w: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80" w:right="340"/>
        <w:spacing w:after="0" w:line="273" w:lineRule="auto"/>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Administrative Agent and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w:t>
      </w:r>
    </w:p>
    <w:p>
      <w:pPr>
        <w:spacing w:after="0" w:line="394" w:lineRule="exact"/>
        <w:rPr>
          <w:sz w:val="20"/>
          <w:szCs w:val="20"/>
          <w:color w:val="auto"/>
        </w:rPr>
      </w:pPr>
    </w:p>
    <w:p>
      <w:pPr>
        <w:ind w:left="4080"/>
        <w:spacing w:after="0"/>
        <w:tabs>
          <w:tab w:leader="none" w:pos="612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 Donna DiForio</w:t>
      </w:r>
      <w:r>
        <w:rPr>
          <w:sz w:val="20"/>
          <w:szCs w:val="20"/>
          <w:color w:val="auto"/>
        </w:rPr>
        <w:tab/>
      </w:r>
      <w:r>
        <w:rPr>
          <w:rFonts w:ascii="Times New Roman" w:cs="Times New Roman" w:eastAsia="Times New Roman" w:hAnsi="Times New Roman"/>
          <w:sz w:val="21"/>
          <w:szCs w:val="21"/>
          <w:u w:val="single" w:color="auto"/>
          <w:color w:val="auto"/>
        </w:rPr>
        <w:t>___</w:t>
      </w:r>
    </w:p>
    <w:p>
      <w:pPr>
        <w:spacing w:after="0" w:line="18"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2"/>
          <w:szCs w:val="22"/>
          <w:color w:val="auto"/>
        </w:rPr>
        <w:t>Donna DiForio</w:t>
      </w: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644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Matthew T. O’Keefe</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4"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Matthew T. O’Keefe</w:t>
      </w:r>
    </w:p>
    <w:p>
      <w:pPr>
        <w:ind w:left="4060"/>
        <w:spacing w:after="0" w:line="226" w:lineRule="auto"/>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BMO HARRIS 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632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Terrence McKenna</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4"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Terrence McKenna</w:t>
      </w:r>
    </w:p>
    <w:p>
      <w:pPr>
        <w:ind w:left="4060"/>
        <w:spacing w:after="0" w:line="226" w:lineRule="auto"/>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584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Christy Yang</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4"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Christy Yang</w:t>
      </w:r>
    </w:p>
    <w:p>
      <w:pPr>
        <w:ind w:left="4060"/>
        <w:spacing w:after="0" w:line="226" w:lineRule="auto"/>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1" w:name="page132"/>
    <w:bookmarkEnd w:id="131"/>
    <w:p>
      <w:pPr>
        <w:ind w:left="890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ISRAEL DISCOUNT BANK OF NEW YORK,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600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Dionne S. Rice</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4"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Dionne S. Rice</w:t>
      </w:r>
    </w:p>
    <w:p>
      <w:pPr>
        <w:ind w:left="4060"/>
        <w:spacing w:after="0" w:line="226" w:lineRule="auto"/>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First Vice President</w:t>
      </w:r>
    </w:p>
    <w:p>
      <w:pPr>
        <w:spacing w:after="0" w:line="200" w:lineRule="exact"/>
        <w:rPr>
          <w:sz w:val="20"/>
          <w:szCs w:val="20"/>
          <w:color w:val="auto"/>
        </w:rPr>
      </w:pPr>
    </w:p>
    <w:p>
      <w:pPr>
        <w:spacing w:after="0" w:line="2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ISRAEL DISCOUNT BANK OF NEW YORK,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598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Richard Miller</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6"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Richard Miller</w:t>
      </w:r>
    </w:p>
    <w:p>
      <w:pPr>
        <w:ind w:left="3740"/>
        <w:spacing w:after="0"/>
        <w:tabs>
          <w:tab w:leader="none" w:pos="4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2" w:name="page133"/>
    <w:bookmarkEnd w:id="132"/>
    <w:p>
      <w:pPr>
        <w:ind w:left="890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KEYBANK NATIONAL ASSOCIATION,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588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Jonathan Roe</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6"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Jonathan Roe</w:t>
      </w:r>
    </w:p>
    <w:p>
      <w:pPr>
        <w:ind w:left="3740"/>
        <w:spacing w:after="0"/>
        <w:tabs>
          <w:tab w:leader="none" w:pos="4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PNC 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610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Alberto Casasus</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6"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Alberto Casasus</w:t>
      </w:r>
    </w:p>
    <w:p>
      <w:pPr>
        <w:ind w:left="3740"/>
        <w:spacing w:after="0"/>
        <w:tabs>
          <w:tab w:leader="none" w:pos="4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TD 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582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Vijay Prasad</w:t>
      </w:r>
      <w:r>
        <w:rPr>
          <w:sz w:val="20"/>
          <w:szCs w:val="20"/>
          <w:color w:val="auto"/>
        </w:rPr>
        <w:tab/>
      </w:r>
      <w:r>
        <w:rPr>
          <w:rFonts w:ascii="Times New Roman" w:cs="Times New Roman" w:eastAsia="Times New Roman" w:hAnsi="Times New Roman"/>
          <w:sz w:val="19"/>
          <w:szCs w:val="19"/>
          <w:u w:val="single" w:color="auto"/>
          <w:color w:val="auto"/>
        </w:rPr>
        <w:t>__</w:t>
      </w:r>
    </w:p>
    <w:p>
      <w:pPr>
        <w:spacing w:after="0" w:line="28"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Vijay Prasad</w:t>
      </w:r>
    </w:p>
    <w:p>
      <w:pPr>
        <w:ind w:left="3740"/>
        <w:spacing w:after="0"/>
        <w:tabs>
          <w:tab w:leader="none" w:pos="4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83820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5" w:name="page136"/>
    <w:bookmarkEnd w:id="135"/>
    <w:p>
      <w:pPr>
        <w:ind w:left="890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WEBSTER BUSINESS CREDIT CORPORATION,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8" w:lineRule="exact"/>
        <w:rPr>
          <w:sz w:val="20"/>
          <w:szCs w:val="20"/>
          <w:color w:val="auto"/>
        </w:rPr>
      </w:pPr>
    </w:p>
    <w:p>
      <w:pPr>
        <w:ind w:left="4080"/>
        <w:spacing w:after="0"/>
        <w:tabs>
          <w:tab w:leader="none" w:pos="616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Marc Postiglione</w:t>
      </w:r>
      <w:r>
        <w:rPr>
          <w:sz w:val="20"/>
          <w:szCs w:val="20"/>
          <w:color w:val="auto"/>
        </w:rPr>
        <w:tab/>
      </w:r>
      <w:r>
        <w:rPr>
          <w:rFonts w:ascii="Times New Roman" w:cs="Times New Roman" w:eastAsia="Times New Roman" w:hAnsi="Times New Roman"/>
          <w:sz w:val="22"/>
          <w:szCs w:val="22"/>
          <w:u w:val="single" w:color="auto"/>
          <w:color w:val="auto"/>
        </w:rPr>
        <w:t>__</w:t>
      </w:r>
    </w:p>
    <w:p>
      <w:pPr>
        <w:spacing w:after="0" w:line="16" w:lineRule="exact"/>
        <w:rPr>
          <w:sz w:val="20"/>
          <w:szCs w:val="20"/>
          <w:color w:val="auto"/>
        </w:rPr>
      </w:pPr>
    </w:p>
    <w:p>
      <w:pPr>
        <w:ind w:left="406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Marc Postiglione</w:t>
      </w:r>
    </w:p>
    <w:p>
      <w:pPr>
        <w:ind w:left="3740"/>
        <w:spacing w:after="0"/>
        <w:tabs>
          <w:tab w:leader="none" w:pos="4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SIGNATURE PAGE TO WAIVER</w:t>
      </w:r>
    </w:p>
    <w:p>
      <w:pPr>
        <w:sectPr>
          <w:pgSz w:w="11900" w:h="16838" w:orient="portrait"/>
          <w:cols w:equalWidth="0" w:num="1">
            <w:col w:w="10120"/>
          </w:cols>
          <w:pgMar w:left="1440" w:top="10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color w:val="auto"/>
        </w:rPr>
        <w:t>Exhibit 10.19</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UNIT PURCHASE AGREEMENT</w:t>
      </w:r>
    </w:p>
    <w:p>
      <w:pPr>
        <w:spacing w:after="0" w:line="21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AGREEMENT dated as of the 13 day of November, 2020, by and between Star Group, L.P., a Delaware limited partnership (hereinafter referred to as “Purchaser”), and Moab Partners, L.P., a Delaware limited partnership (hereinafter referred to as “Seller”).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Facts:</w:t>
      </w:r>
    </w:p>
    <w:p>
      <w:pPr>
        <w:spacing w:after="0" w:line="210" w:lineRule="exact"/>
        <w:rPr>
          <w:sz w:val="20"/>
          <w:szCs w:val="20"/>
          <w:color w:val="auto"/>
        </w:rPr>
      </w:pPr>
    </w:p>
    <w:p>
      <w:pPr>
        <w:ind w:left="860" w:hanging="784"/>
        <w:spacing w:after="0" w:line="249" w:lineRule="auto"/>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Seller is the beneficial owner of common units of limited partnership interest of Purchaser (the “Common Units”).</w:t>
      </w:r>
    </w:p>
    <w:p>
      <w:pPr>
        <w:spacing w:after="0" w:line="200" w:lineRule="exact"/>
        <w:rPr>
          <w:sz w:val="20"/>
          <w:szCs w:val="20"/>
          <w:color w:val="auto"/>
        </w:rPr>
      </w:pPr>
    </w:p>
    <w:p>
      <w:pPr>
        <w:spacing w:after="0" w:line="220" w:lineRule="exact"/>
        <w:rPr>
          <w:sz w:val="20"/>
          <w:szCs w:val="20"/>
          <w:color w:val="auto"/>
        </w:rPr>
      </w:pPr>
    </w:p>
    <w:p>
      <w:pPr>
        <w:ind w:left="860" w:hanging="784"/>
        <w:spacing w:after="0" w:line="258" w:lineRule="auto"/>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Purchaser desires to purchase 1,400,000 Common Units (the “Units) from Seller and Seller desires to sell the Units to Purchaser under the terms and conditions set forth herein below.</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in consideration of the mutual promises set forth herein, the parties agree and stipulate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78" w:lineRule="exact"/>
        <w:rPr>
          <w:sz w:val="20"/>
          <w:szCs w:val="20"/>
          <w:color w:val="auto"/>
        </w:rPr>
      </w:pPr>
    </w:p>
    <w:p>
      <w:pPr>
        <w:ind w:firstLine="872"/>
        <w:spacing w:after="0" w:line="262" w:lineRule="auto"/>
        <w:tabs>
          <w:tab w:leader="none" w:pos="232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Purchase and Sale</w:t>
      </w:r>
      <w:r>
        <w:rPr>
          <w:rFonts w:ascii="Times New Roman" w:cs="Times New Roman" w:eastAsia="Times New Roman" w:hAnsi="Times New Roman"/>
          <w:sz w:val="22"/>
          <w:szCs w:val="22"/>
          <w:color w:val="auto"/>
        </w:rPr>
        <w:t>. Purchaser shall purchase (the “Purchase”) the Units from Seller and Seller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the Units to Purchaser for the price and upon the other terms set forth herein.</w:t>
      </w:r>
    </w:p>
    <w:p>
      <w:pPr>
        <w:spacing w:after="0" w:line="150" w:lineRule="exact"/>
        <w:rPr>
          <w:sz w:val="20"/>
          <w:szCs w:val="20"/>
          <w:color w:val="auto"/>
        </w:rPr>
      </w:pPr>
    </w:p>
    <w:p>
      <w:pPr>
        <w:ind w:right="20" w:firstLine="872"/>
        <w:spacing w:after="0" w:line="262" w:lineRule="auto"/>
        <w:tabs>
          <w:tab w:leader="none" w:pos="232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color w:val="auto"/>
        </w:rPr>
        <w:t>. Purchaser shall pay Seller $9.85 per Unit for a total purchase price for the Units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$13,790,000 (the “Purchase Price”).</w:t>
      </w:r>
    </w:p>
    <w:p>
      <w:pPr>
        <w:spacing w:after="0" w:line="150" w:lineRule="exact"/>
        <w:rPr>
          <w:sz w:val="20"/>
          <w:szCs w:val="20"/>
          <w:color w:val="auto"/>
        </w:rPr>
      </w:pPr>
    </w:p>
    <w:p>
      <w:pPr>
        <w:jc w:val="both"/>
        <w:ind w:firstLine="872"/>
        <w:spacing w:after="0" w:line="246" w:lineRule="auto"/>
        <w:tabs>
          <w:tab w:leader="none" w:pos="232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Closing of the transactions contemplated by this Agreement shall occur on the 16 day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November, 2020 (the “Closing Date”), at the offices of Star Group, L.P., 9 West Broad Street Street-Suite 310, Stamford, CT 06902, or at such other place as Seller and Purchaser shall mutually agree, either verbally or in writing.</w:t>
      </w:r>
    </w:p>
    <w:p>
      <w:pPr>
        <w:spacing w:after="0" w:line="167" w:lineRule="exact"/>
        <w:rPr>
          <w:sz w:val="20"/>
          <w:szCs w:val="20"/>
          <w:color w:val="auto"/>
        </w:rPr>
      </w:pPr>
    </w:p>
    <w:p>
      <w:pPr>
        <w:ind w:left="2320" w:hanging="1448"/>
        <w:spacing w:after="0"/>
        <w:tabs>
          <w:tab w:leader="none" w:pos="23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 and Payment for Units</w:t>
      </w:r>
      <w:r>
        <w:rPr>
          <w:rFonts w:ascii="Times New Roman" w:cs="Times New Roman" w:eastAsia="Times New Roman" w:hAnsi="Times New Roman"/>
          <w:sz w:val="22"/>
          <w:szCs w:val="22"/>
          <w:color w:val="auto"/>
        </w:rPr>
        <w:t>. On the Closing Date, Purchaser shall wire</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Purchase Price to Seller in accordance with written wire transfer instructions provided to Purchaser by Seller on or before the Closing Date. Upon receipt of the Purchase Price, Seller shall deliver the Units to Purchaser electronically through DTC in accordance with written instructions provided by Purchaser to Seller on or before the Closing Date.</w:t>
      </w:r>
    </w:p>
    <w:p>
      <w:pPr>
        <w:spacing w:after="0" w:line="174" w:lineRule="exact"/>
        <w:rPr>
          <w:sz w:val="20"/>
          <w:szCs w:val="20"/>
          <w:color w:val="auto"/>
        </w:rPr>
      </w:pPr>
    </w:p>
    <w:p>
      <w:pPr>
        <w:ind w:left="2320" w:hanging="1448"/>
        <w:spacing w:after="0"/>
        <w:tabs>
          <w:tab w:leader="none" w:pos="23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Seller</w:t>
      </w:r>
      <w:r>
        <w:rPr>
          <w:rFonts w:ascii="Times New Roman" w:cs="Times New Roman" w:eastAsia="Times New Roman" w:hAnsi="Times New Roman"/>
          <w:sz w:val="22"/>
          <w:szCs w:val="22"/>
          <w:color w:val="auto"/>
        </w:rPr>
        <w:t>. Seller hereby represents and warrants to Purchaser as</w:t>
      </w:r>
    </w:p>
    <w:p>
      <w:pPr>
        <w:spacing w:after="0" w:line="18" w:lineRule="exact"/>
        <w:rPr>
          <w:rFonts w:ascii="Times New Roman" w:cs="Times New Roman" w:eastAsia="Times New Roman" w:hAnsi="Times New Roman"/>
          <w:sz w:val="22"/>
          <w:szCs w:val="22"/>
          <w:color w:val="auto"/>
        </w:rPr>
      </w:pPr>
    </w:p>
    <w:p>
      <w:pPr>
        <w:jc w:val="both"/>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 (i) upon receipt of the Purchase Price as provided in this Agreement, Seller will deliver good and valid title to the Units, free and clear from all liens, claims and encumbrances of any nature whatsoever, other than any liens, claims and encumbrances created by Purchaser, (ii) the execution, delivery and performance of this Agreement has been duly authorized by all necessary action on the part of Seller and this Agreement has been duly executed and delivered on behalf of Seller, and (iii) Seller has the power and authority to execute, deliver and perform this Agreement.</w:t>
      </w:r>
    </w:p>
    <w:p>
      <w:pPr>
        <w:spacing w:after="0" w:line="175" w:lineRule="exact"/>
        <w:rPr>
          <w:sz w:val="20"/>
          <w:szCs w:val="20"/>
          <w:color w:val="auto"/>
        </w:rPr>
      </w:pPr>
    </w:p>
    <w:p>
      <w:pPr>
        <w:ind w:left="2320" w:hanging="1448"/>
        <w:spacing w:after="0"/>
        <w:tabs>
          <w:tab w:leader="none" w:pos="23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Purchaser</w:t>
      </w:r>
      <w:r>
        <w:rPr>
          <w:rFonts w:ascii="Times New Roman" w:cs="Times New Roman" w:eastAsia="Times New Roman" w:hAnsi="Times New Roman"/>
          <w:sz w:val="22"/>
          <w:szCs w:val="22"/>
          <w:color w:val="auto"/>
        </w:rPr>
        <w:t>. Purchaser hereby represents and warrants to Seller</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follows: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color w:val="auto"/>
        </w:rPr>
        <w:t>Exhibit 10.19</w:t>
      </w:r>
    </w:p>
    <w:p>
      <w:pPr>
        <w:spacing w:after="0" w:line="234" w:lineRule="exact"/>
        <w:rPr>
          <w:sz w:val="20"/>
          <w:szCs w:val="20"/>
          <w:color w:val="auto"/>
        </w:rPr>
      </w:pPr>
    </w:p>
    <w:p>
      <w:pPr>
        <w:jc w:val="both"/>
        <w:ind w:firstLine="1735"/>
        <w:spacing w:after="0" w:line="236" w:lineRule="auto"/>
        <w:tabs>
          <w:tab w:leader="none" w:pos="2615"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Power; Due Authorization; Binding Agreement</w:t>
      </w:r>
      <w:r>
        <w:rPr>
          <w:rFonts w:ascii="Times New Roman" w:cs="Times New Roman" w:eastAsia="Times New Roman" w:hAnsi="Times New Roman"/>
          <w:sz w:val="22"/>
          <w:szCs w:val="22"/>
          <w:color w:val="auto"/>
        </w:rPr>
        <w:t>. Purchaser is a limited partnership duly organized, validly existing and in good standing under the laws of its jurisdiction of organization. The execution, delivery and performance of this Agreement has been duly authorized by all necessary action on the part of Purchaser and Purchaser has the full power and authority to execute and deliver this Agreement, to perform its obligations under this Agreement and to consummate the transactions contemplated hereby. This Agreement has been duly executed and delivered on behalf of Purchaser and constitutes a valid and binding agreement of Purchaser.</w:t>
      </w:r>
    </w:p>
    <w:p>
      <w:pPr>
        <w:spacing w:after="0" w:line="181" w:lineRule="exact"/>
        <w:rPr>
          <w:rFonts w:ascii="Times New Roman" w:cs="Times New Roman" w:eastAsia="Times New Roman" w:hAnsi="Times New Roman"/>
          <w:sz w:val="22"/>
          <w:szCs w:val="22"/>
          <w:color w:val="010000"/>
        </w:rPr>
      </w:pPr>
    </w:p>
    <w:p>
      <w:pPr>
        <w:jc w:val="both"/>
        <w:ind w:firstLine="1735"/>
        <w:spacing w:after="0" w:line="234" w:lineRule="auto"/>
        <w:tabs>
          <w:tab w:leader="none" w:pos="2627"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and delivery of this Agreement by Purchaser does not, and the performance of the terms of this Agreement by Purchaser will not, (i) contravene or conflict with any certificate of limited partnership, limited partnership agreement or any other similar organizational documents of Purchaser, (ii) require Purchaser to obtain the consent or approval of, or make any filing with or notification to, any governmental body, agency or official of any country or political subdivision of any country, including any federal, national, supranational, state, provincial, local or other government, governmental, regulatory or administrative authority, agency or commission or any court, tribunal, or judicial or arbitral body (“Governmental Authority”), other than any required filing under U.S. federal securities laws, (iii) require the consent or approval of any other person pursuant to any agreement, obligation or instrument binding on Purchaser or its properties and assets, (iv) conflict with or violate any law, rule, regulation, order, judgment or decree applicable to Purchaser or pursuant to which any of its assets are bound or (v) violate any other agreement to which Purchaser is a party.</w:t>
      </w:r>
    </w:p>
    <w:p>
      <w:pPr>
        <w:spacing w:after="0" w:line="179" w:lineRule="exact"/>
        <w:rPr>
          <w:rFonts w:ascii="Times New Roman" w:cs="Times New Roman" w:eastAsia="Times New Roman" w:hAnsi="Times New Roman"/>
          <w:sz w:val="22"/>
          <w:szCs w:val="22"/>
          <w:color w:val="010000"/>
        </w:rPr>
      </w:pPr>
    </w:p>
    <w:p>
      <w:pPr>
        <w:ind w:firstLine="1735"/>
        <w:spacing w:after="0" w:line="258" w:lineRule="auto"/>
        <w:tabs>
          <w:tab w:leader="none" w:pos="2615"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To its knowledge, Purchaser has not provided any material non-public information regarding Purchaser to Seller that has not been disclosed to the public prior to the date hereof.</w:t>
      </w:r>
    </w:p>
    <w:p>
      <w:pPr>
        <w:spacing w:after="0" w:line="158" w:lineRule="exact"/>
        <w:rPr>
          <w:rFonts w:ascii="Times New Roman" w:cs="Times New Roman" w:eastAsia="Times New Roman" w:hAnsi="Times New Roman"/>
          <w:sz w:val="22"/>
          <w:szCs w:val="22"/>
          <w:color w:val="010000"/>
        </w:rPr>
      </w:pPr>
    </w:p>
    <w:p>
      <w:pPr>
        <w:ind w:firstLine="1735"/>
        <w:spacing w:after="0" w:line="258" w:lineRule="auto"/>
        <w:tabs>
          <w:tab w:leader="none" w:pos="2627"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Purchaser is an “accredited investor” as that term is defined under Securities and Exchange Commission Regulation D under the Securities Act of 1933, as amended.</w:t>
      </w:r>
    </w:p>
    <w:p>
      <w:pPr>
        <w:spacing w:after="0" w:line="158" w:lineRule="exact"/>
        <w:rPr>
          <w:rFonts w:ascii="Times New Roman" w:cs="Times New Roman" w:eastAsia="Times New Roman" w:hAnsi="Times New Roman"/>
          <w:sz w:val="22"/>
          <w:szCs w:val="22"/>
          <w:color w:val="010000"/>
        </w:rPr>
      </w:pPr>
    </w:p>
    <w:p>
      <w:pPr>
        <w:jc w:val="both"/>
        <w:ind w:firstLine="1735"/>
        <w:spacing w:after="0" w:line="244" w:lineRule="auto"/>
        <w:tabs>
          <w:tab w:leader="none" w:pos="2615"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Acquisition of the Units for Own Account</w:t>
      </w:r>
      <w:r>
        <w:rPr>
          <w:rFonts w:ascii="Times New Roman" w:cs="Times New Roman" w:eastAsia="Times New Roman" w:hAnsi="Times New Roman"/>
          <w:sz w:val="22"/>
          <w:szCs w:val="22"/>
          <w:color w:val="auto"/>
        </w:rPr>
        <w:t>. Purchaser is acquiring the Units for its own account and not with a view to, or for resale in connection with, any distribution or public offering thereof within the meaning of the Securities Act of 1933, as amended.</w:t>
      </w:r>
    </w:p>
    <w:p>
      <w:pPr>
        <w:spacing w:after="0" w:line="173" w:lineRule="exact"/>
        <w:rPr>
          <w:rFonts w:ascii="Times New Roman" w:cs="Times New Roman" w:eastAsia="Times New Roman" w:hAnsi="Times New Roman"/>
          <w:sz w:val="22"/>
          <w:szCs w:val="22"/>
          <w:color w:val="010000"/>
        </w:rPr>
      </w:pPr>
    </w:p>
    <w:p>
      <w:pPr>
        <w:jc w:val="both"/>
        <w:ind w:firstLine="1735"/>
        <w:spacing w:after="0" w:line="244" w:lineRule="auto"/>
        <w:tabs>
          <w:tab w:leader="none" w:pos="2591"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Private, Negotiated Transaction</w:t>
      </w:r>
      <w:r>
        <w:rPr>
          <w:rFonts w:ascii="Times New Roman" w:cs="Times New Roman" w:eastAsia="Times New Roman" w:hAnsi="Times New Roman"/>
          <w:sz w:val="22"/>
          <w:szCs w:val="22"/>
          <w:color w:val="auto"/>
        </w:rPr>
        <w:t>. Purchaser is aware and hereby acknowledges that the purchase and sale of the Units and the transactions contemplated by this Agreement are being made in a private, negotiated transaction between the parties.</w:t>
      </w:r>
    </w:p>
    <w:p>
      <w:pPr>
        <w:spacing w:after="0" w:line="173" w:lineRule="exact"/>
        <w:rPr>
          <w:rFonts w:ascii="Times New Roman" w:cs="Times New Roman" w:eastAsia="Times New Roman" w:hAnsi="Times New Roman"/>
          <w:sz w:val="22"/>
          <w:szCs w:val="22"/>
          <w:color w:val="010000"/>
        </w:rPr>
      </w:pPr>
    </w:p>
    <w:p>
      <w:pPr>
        <w:jc w:val="both"/>
        <w:ind w:right="20" w:firstLine="1735"/>
        <w:spacing w:after="0" w:line="261" w:lineRule="auto"/>
        <w:tabs>
          <w:tab w:leader="none" w:pos="2627"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Reliance</w:t>
      </w:r>
      <w:r>
        <w:rPr>
          <w:rFonts w:ascii="Times New Roman" w:cs="Times New Roman" w:eastAsia="Times New Roman" w:hAnsi="Times New Roman"/>
          <w:sz w:val="21"/>
          <w:szCs w:val="21"/>
          <w:color w:val="auto"/>
        </w:rPr>
        <w:t>. Purchaser hereby acknowledges and agrees that Seller has not made any representation or warranty, express or implied, regarding any aspect of the transactions contemplated by this Agreement except as explicitly set forth in this Agreement, and Seller is not relying on any representation or warranty not contained in this Agreement.</w:t>
      </w:r>
    </w:p>
    <w:p>
      <w:pPr>
        <w:spacing w:after="0" w:line="153" w:lineRule="exact"/>
        <w:rPr>
          <w:sz w:val="20"/>
          <w:szCs w:val="20"/>
          <w:color w:val="auto"/>
        </w:rPr>
      </w:pPr>
    </w:p>
    <w:p>
      <w:pPr>
        <w:ind w:right="20" w:firstLine="872"/>
        <w:spacing w:after="0" w:line="262" w:lineRule="auto"/>
        <w:tabs>
          <w:tab w:leader="none" w:pos="232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Securities Law Representations, Warranties, Covenants, and Releases</w:t>
      </w:r>
      <w:r>
        <w:rPr>
          <w:rFonts w:ascii="Times New Roman" w:cs="Times New Roman" w:eastAsia="Times New Roman" w:hAnsi="Times New Roman"/>
          <w:sz w:val="22"/>
          <w:szCs w:val="22"/>
          <w:color w:val="auto"/>
        </w:rPr>
        <w:t>.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Seller hereby represents, warrants and agrees as follows: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color w:val="auto"/>
        </w:rPr>
        <w:t>Exhibit 10.19</w:t>
      </w:r>
    </w:p>
    <w:p>
      <w:pPr>
        <w:spacing w:after="0" w:line="234" w:lineRule="exact"/>
        <w:rPr>
          <w:sz w:val="20"/>
          <w:szCs w:val="20"/>
          <w:color w:val="auto"/>
        </w:rPr>
      </w:pPr>
    </w:p>
    <w:p>
      <w:pPr>
        <w:jc w:val="both"/>
        <w:ind w:firstLine="1735"/>
        <w:spacing w:after="0" w:line="239" w:lineRule="auto"/>
        <w:tabs>
          <w:tab w:leader="none" w:pos="2615"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has informed Seller that Purchaser possesses non-public information (the “Non-Public Information”) concerning Purchaser, including, without limitation, with respect to Purchaser’s results of operations and financial condition as of and for its fourth fiscal quarter ending September 30, 2020, and Purchaser is precluded from disclosing such information to Seller (the “Non-Disclosure”);</w:t>
      </w:r>
    </w:p>
    <w:p>
      <w:pPr>
        <w:spacing w:after="0" w:line="180" w:lineRule="exact"/>
        <w:rPr>
          <w:rFonts w:ascii="Times New Roman" w:cs="Times New Roman" w:eastAsia="Times New Roman" w:hAnsi="Times New Roman"/>
          <w:sz w:val="22"/>
          <w:szCs w:val="22"/>
          <w:color w:val="010000"/>
        </w:rPr>
      </w:pPr>
    </w:p>
    <w:p>
      <w:pPr>
        <w:ind w:firstLine="1735"/>
        <w:spacing w:after="0" w:line="258" w:lineRule="auto"/>
        <w:tabs>
          <w:tab w:leader="none" w:pos="2627"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Non-Public Information may be indicative of a value of the Units that is higher than the purchase price reflected in the Purchase;</w:t>
      </w:r>
    </w:p>
    <w:p>
      <w:pPr>
        <w:spacing w:after="0" w:line="158" w:lineRule="exact"/>
        <w:rPr>
          <w:rFonts w:ascii="Times New Roman" w:cs="Times New Roman" w:eastAsia="Times New Roman" w:hAnsi="Times New Roman"/>
          <w:sz w:val="22"/>
          <w:szCs w:val="22"/>
          <w:color w:val="010000"/>
        </w:rPr>
      </w:pPr>
    </w:p>
    <w:p>
      <w:pPr>
        <w:jc w:val="both"/>
        <w:ind w:firstLine="1735"/>
        <w:spacing w:after="0" w:line="239" w:lineRule="auto"/>
        <w:tabs>
          <w:tab w:leader="none" w:pos="2615"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is an experienced and sophisticated investor that would qualify as an institutional “accredited investor” that satisfies one or more of the criteria set forth in Rule 501(a)(1), (2), (3) or (7) of Regulation D under the Securities Act of 1933, as amended, and Seller is knowledgeable in trading equity securities and understands the disadvantage to which Seller is subject on account of the disparity of information as between Purchaser and Seller;</w:t>
      </w:r>
    </w:p>
    <w:p>
      <w:pPr>
        <w:spacing w:after="0" w:line="180" w:lineRule="exact"/>
        <w:rPr>
          <w:rFonts w:ascii="Times New Roman" w:cs="Times New Roman" w:eastAsia="Times New Roman" w:hAnsi="Times New Roman"/>
          <w:sz w:val="22"/>
          <w:szCs w:val="22"/>
          <w:color w:val="010000"/>
        </w:rPr>
      </w:pPr>
    </w:p>
    <w:p>
      <w:pPr>
        <w:ind w:firstLine="1735"/>
        <w:spacing w:after="0" w:line="258" w:lineRule="auto"/>
        <w:tabs>
          <w:tab w:leader="none" w:pos="2627"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is not relying on any representations, warranties or disclosure from Purchaser or any person acting on Purchaser’s behalf in connection with the Purchase;</w:t>
      </w:r>
    </w:p>
    <w:p>
      <w:pPr>
        <w:spacing w:after="0" w:line="158" w:lineRule="exact"/>
        <w:rPr>
          <w:rFonts w:ascii="Times New Roman" w:cs="Times New Roman" w:eastAsia="Times New Roman" w:hAnsi="Times New Roman"/>
          <w:sz w:val="22"/>
          <w:szCs w:val="22"/>
          <w:color w:val="010000"/>
        </w:rPr>
      </w:pPr>
    </w:p>
    <w:p>
      <w:pPr>
        <w:ind w:firstLine="1735"/>
        <w:spacing w:after="0" w:line="258" w:lineRule="auto"/>
        <w:tabs>
          <w:tab w:leader="none" w:pos="2615"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acknowledges that Purchaser is relying on this Agreement in purchasing the Units and would not purchase the Units in the absence of this Agreement; and</w:t>
      </w:r>
    </w:p>
    <w:p>
      <w:pPr>
        <w:spacing w:after="0" w:line="158" w:lineRule="exact"/>
        <w:rPr>
          <w:rFonts w:ascii="Times New Roman" w:cs="Times New Roman" w:eastAsia="Times New Roman" w:hAnsi="Times New Roman"/>
          <w:sz w:val="22"/>
          <w:szCs w:val="22"/>
          <w:color w:val="010000"/>
        </w:rPr>
      </w:pPr>
    </w:p>
    <w:p>
      <w:pPr>
        <w:jc w:val="both"/>
        <w:ind w:firstLine="1735"/>
        <w:spacing w:after="0" w:line="239" w:lineRule="auto"/>
        <w:tabs>
          <w:tab w:leader="none" w:pos="2591"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hereby waives, releases and forever discharges Purchaser from and against any and all claims, demands, causes of action and liabilities whatsoever, whether known or unknown, both at law and at equity, that it may have against Purchaser on account of the Non-Disclosure, including, without limitation, under Federal and state securities laws, including Section 10(b) or Rule 10b-5 of the Securities Exchange Act of 1934, as amended.</w:t>
      </w:r>
    </w:p>
    <w:p>
      <w:pPr>
        <w:spacing w:after="0" w:line="176" w:lineRule="exact"/>
        <w:rPr>
          <w:sz w:val="20"/>
          <w:szCs w:val="20"/>
          <w:color w:val="auto"/>
        </w:rPr>
      </w:pPr>
    </w:p>
    <w:p>
      <w:pPr>
        <w:ind w:firstLine="872"/>
        <w:spacing w:after="0" w:line="286" w:lineRule="auto"/>
        <w:tabs>
          <w:tab w:leader="none" w:pos="23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color w:val="auto"/>
        </w:rPr>
        <w:t>. Purchaser and Seller shall execute and deliver any further documents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whatsoever nature which may be reasonably necessary to effectuate and consummate the transaction set forth in this Agreement.</w:t>
      </w:r>
    </w:p>
    <w:p>
      <w:pPr>
        <w:spacing w:after="0" w:line="126" w:lineRule="exact"/>
        <w:rPr>
          <w:sz w:val="20"/>
          <w:szCs w:val="20"/>
          <w:color w:val="auto"/>
        </w:rPr>
      </w:pPr>
    </w:p>
    <w:p>
      <w:pPr>
        <w:ind w:left="2320" w:hanging="1448"/>
        <w:spacing w:after="0"/>
        <w:tabs>
          <w:tab w:leader="none" w:pos="2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The representations and warranties contained in this Agreement shall survive indefinitely.</w:t>
      </w:r>
    </w:p>
    <w:p>
      <w:pPr>
        <w:spacing w:after="0" w:line="206" w:lineRule="exact"/>
        <w:rPr>
          <w:sz w:val="20"/>
          <w:szCs w:val="20"/>
          <w:color w:val="auto"/>
        </w:rPr>
      </w:pPr>
    </w:p>
    <w:p>
      <w:pPr>
        <w:ind w:firstLine="872"/>
        <w:spacing w:after="0" w:line="262" w:lineRule="auto"/>
        <w:tabs>
          <w:tab w:leader="none" w:pos="243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be subject to and governed by the laws of the State of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York without regard to conflicts of law principles other than Section 5-1401 of the New York General Obligations Law.</w:t>
      </w:r>
    </w:p>
    <w:p>
      <w:pPr>
        <w:spacing w:after="0" w:line="150" w:lineRule="exact"/>
        <w:rPr>
          <w:sz w:val="20"/>
          <w:szCs w:val="20"/>
          <w:color w:val="auto"/>
        </w:rPr>
      </w:pPr>
    </w:p>
    <w:p>
      <w:pPr>
        <w:ind w:left="2420" w:hanging="1548"/>
        <w:spacing w:after="0"/>
        <w:tabs>
          <w:tab w:leader="none" w:pos="24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Agreement shall bind the parties hereto, their legal representatives, and their</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successors and assigns.</w:t>
      </w:r>
    </w:p>
    <w:p>
      <w:pPr>
        <w:spacing w:after="0" w:line="178" w:lineRule="exact"/>
        <w:rPr>
          <w:sz w:val="20"/>
          <w:szCs w:val="20"/>
          <w:color w:val="auto"/>
        </w:rPr>
      </w:pPr>
    </w:p>
    <w:p>
      <w:pPr>
        <w:jc w:val="both"/>
        <w:ind w:firstLine="872"/>
        <w:spacing w:after="0" w:line="246" w:lineRule="auto"/>
        <w:tabs>
          <w:tab w:leader="none" w:pos="243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and Facsimiles</w:t>
      </w:r>
      <w:r>
        <w:rPr>
          <w:rFonts w:ascii="Times New Roman" w:cs="Times New Roman" w:eastAsia="Times New Roman" w:hAnsi="Times New Roman"/>
          <w:sz w:val="22"/>
          <w:szCs w:val="22"/>
          <w:color w:val="auto"/>
        </w:rPr>
        <w:t>. This Agreement may be executed by facsimile and/or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signature and/or in multiple counterparts, each of which shall be deemed an original, but all of which together shall constitute one and the same document.</w:t>
      </w:r>
    </w:p>
    <w:p>
      <w:pPr>
        <w:spacing w:after="0" w:line="167" w:lineRule="exact"/>
        <w:rPr>
          <w:sz w:val="20"/>
          <w:szCs w:val="20"/>
          <w:color w:val="auto"/>
        </w:rPr>
      </w:pPr>
    </w:p>
    <w:p>
      <w:pPr>
        <w:jc w:val="both"/>
        <w:ind w:firstLine="872"/>
        <w:spacing w:after="0" w:line="246" w:lineRule="auto"/>
        <w:tabs>
          <w:tab w:leader="none" w:pos="243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entire Agreement among the parties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subject matter hereof and supersedes all other prior and contemporaneous agreements or representations and understandings.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color w:val="auto"/>
        </w:rPr>
        <w:t>Exhibit 10.19</w:t>
      </w:r>
    </w:p>
    <w:p>
      <w:pPr>
        <w:spacing w:after="0" w:line="230" w:lineRule="exact"/>
        <w:rPr>
          <w:sz w:val="20"/>
          <w:szCs w:val="20"/>
          <w:color w:val="auto"/>
        </w:rPr>
      </w:pPr>
    </w:p>
    <w:p>
      <w:pPr>
        <w:jc w:val="both"/>
        <w:ind w:firstLine="872"/>
        <w:spacing w:after="0" w:line="235" w:lineRule="auto"/>
        <w:tabs>
          <w:tab w:leader="none" w:pos="243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such provision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circumstance shall be held invalid, illegal or unenforceable in any respect by a court of competent jurisdiction, such invalidity, illegality or unenforceability shall not affect any other provision hereof and all other conditions and provisions of this Agreement shall nevertheless remain in full force and effect so long as the essential economic or legal substance of the transactions contemplated hereby is not affected.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8" w:lineRule="exact"/>
        <w:rPr>
          <w:sz w:val="20"/>
          <w:szCs w:val="20"/>
          <w:color w:val="auto"/>
        </w:rPr>
      </w:pPr>
    </w:p>
    <w:p>
      <w:pPr>
        <w:ind w:firstLine="872"/>
        <w:spacing w:after="0" w:line="262" w:lineRule="auto"/>
        <w:tabs>
          <w:tab w:leader="none" w:pos="243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Modification</w:t>
      </w:r>
      <w:r>
        <w:rPr>
          <w:rFonts w:ascii="Times New Roman" w:cs="Times New Roman" w:eastAsia="Times New Roman" w:hAnsi="Times New Roman"/>
          <w:sz w:val="22"/>
          <w:szCs w:val="22"/>
          <w:color w:val="auto"/>
        </w:rPr>
        <w:t>. No supplement, modification or amendment of this Agreement shall be binding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in writing by both of the parties.</w:t>
      </w:r>
    </w:p>
    <w:p>
      <w:pPr>
        <w:spacing w:after="0" w:line="150" w:lineRule="exact"/>
        <w:rPr>
          <w:sz w:val="20"/>
          <w:szCs w:val="20"/>
          <w:color w:val="auto"/>
        </w:rPr>
      </w:pPr>
    </w:p>
    <w:p>
      <w:pPr>
        <w:jc w:val="both"/>
        <w:ind w:firstLine="872"/>
        <w:spacing w:after="0" w:line="246" w:lineRule="auto"/>
        <w:tabs>
          <w:tab w:leader="none" w:pos="243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waiver of any of the provisions of this Agreement shall be deemed, or will constitute,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of any other provision, whether or not similar, nor will any waiver constitute a continuing waiver. No waiver shall be binding unless executed in writing by the party making the waiver.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color w:val="auto"/>
        </w:rPr>
        <w:t>Exhibit 10.19</w:t>
      </w:r>
    </w:p>
    <w:p>
      <w:pPr>
        <w:spacing w:after="0" w:line="200" w:lineRule="exact"/>
        <w:rPr>
          <w:sz w:val="20"/>
          <w:szCs w:val="20"/>
          <w:color w:val="auto"/>
        </w:rPr>
      </w:pPr>
    </w:p>
    <w:p>
      <w:pPr>
        <w:spacing w:after="0" w:line="277"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on the day and year first above written.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PURCHASER:</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STAR GROUP, L.P.</w:t>
      </w:r>
    </w:p>
    <w:p>
      <w:pPr>
        <w:spacing w:after="0" w:line="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By: Kestrel Heat, LLC, its general partner</w:t>
      </w:r>
    </w:p>
    <w:p>
      <w:pPr>
        <w:spacing w:after="0" w:line="398" w:lineRule="exact"/>
        <w:rPr>
          <w:sz w:val="20"/>
          <w:szCs w:val="20"/>
          <w:color w:val="auto"/>
        </w:rPr>
      </w:pPr>
    </w:p>
    <w:p>
      <w:pPr>
        <w:ind w:left="5180"/>
        <w:spacing w:after="0"/>
        <w:tabs>
          <w:tab w:leader="none" w:pos="5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Richard F. Ambury</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Name: Richard F. Ambury</w:t>
      </w:r>
    </w:p>
    <w:p>
      <w:pPr>
        <w:ind w:left="5820"/>
        <w:spacing w:after="0"/>
        <w:rPr>
          <w:sz w:val="20"/>
          <w:szCs w:val="20"/>
          <w:color w:val="auto"/>
        </w:rPr>
      </w:pPr>
      <w:r>
        <w:rPr>
          <w:rFonts w:ascii="Times New Roman" w:cs="Times New Roman" w:eastAsia="Times New Roman" w:hAnsi="Times New Roman"/>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SELLER:</w:t>
      </w:r>
    </w:p>
    <w:p>
      <w:pPr>
        <w:spacing w:after="0" w:line="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MOAB PARTNERS, L.P.</w:t>
      </w:r>
    </w:p>
    <w:p>
      <w:pPr>
        <w:ind w:left="5540"/>
        <w:spacing w:after="0"/>
        <w:rPr>
          <w:sz w:val="20"/>
          <w:szCs w:val="20"/>
          <w:color w:val="auto"/>
        </w:rPr>
      </w:pPr>
      <w:r>
        <w:rPr>
          <w:rFonts w:ascii="Times New Roman" w:cs="Times New Roman" w:eastAsia="Times New Roman" w:hAnsi="Times New Roman"/>
          <w:sz w:val="22"/>
          <w:szCs w:val="22"/>
          <w:color w:val="auto"/>
        </w:rPr>
        <w:t>By: Moab Capital Partners, LLC, its Investment Advisor</w:t>
      </w:r>
    </w:p>
    <w:p>
      <w:pPr>
        <w:spacing w:after="0" w:line="200" w:lineRule="exact"/>
        <w:rPr>
          <w:sz w:val="20"/>
          <w:szCs w:val="20"/>
          <w:color w:val="auto"/>
        </w:rPr>
      </w:pPr>
    </w:p>
    <w:p>
      <w:pPr>
        <w:spacing w:after="0" w:line="252" w:lineRule="exact"/>
        <w:rPr>
          <w:sz w:val="20"/>
          <w:szCs w:val="20"/>
          <w:color w:val="auto"/>
        </w:rPr>
      </w:pPr>
    </w:p>
    <w:p>
      <w:pPr>
        <w:ind w:left="5180"/>
        <w:spacing w:after="0"/>
        <w:tabs>
          <w:tab w:leader="none" w:pos="5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Michael Rothenberg</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Name: Michael Rothenberg</w:t>
      </w:r>
    </w:p>
    <w:p>
      <w:pPr>
        <w:ind w:left="582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w:t>
      </w:r>
      <w:r>
        <w:rPr>
          <w:rFonts w:ascii="Times New Roman" w:cs="Times New Roman" w:eastAsia="Times New Roman" w:hAnsi="Times New Roman"/>
          <w:sz w:val="10"/>
          <w:szCs w:val="10"/>
          <w:color w:val="auto"/>
        </w:rPr>
        <w:t>NIT</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URCHASE</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w:t>
      </w:r>
    </w:p>
    <w:p>
      <w:pPr>
        <w:sectPr>
          <w:pgSz w:w="11900" w:h="16838" w:orient="portrait"/>
          <w:cols w:equalWidth="0" w:num="1">
            <w:col w:w="11240"/>
          </w:cols>
          <w:pgMar w:left="320" w:top="11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 Woodson Company—District of Columbia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CFS LLC—Pennsylvania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Champion Energy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Petroleum Transportation,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Griffith Energy Services, Inc.—New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Griffith – Allied Trucking,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Hoffman Fuel Company of Danbury—Delaware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Holdings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Oil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Oil Co., L.P.—Delaware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Milro Group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Minnwhale LLC—New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Ortep of Pennsylvania, Inc.—Pennsylvania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Holdings,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Plumbing Corporation—New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Inc.—Delaware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Petroleum Heat and Power Co.,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 Oil Plumbing, Heating and Cooling Co., Inc.—New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Richland Partners, LLC—Pennsylvania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Fuel Company—Delaware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Acquisitions,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Woodbury Insurance Co., Inc.—Connecticut</w:t>
      </w:r>
    </w:p>
    <w:p>
      <w:pPr>
        <w:sectPr>
          <w:pgSz w:w="11900" w:h="16838" w:orient="portrait"/>
          <w:cols w:equalWidth="0" w:num="1">
            <w:col w:w="11240"/>
          </w:cols>
          <w:pgMar w:left="320" w:top="33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Woosnam, certify that:</w:t>
      </w:r>
    </w:p>
    <w:p>
      <w:pPr>
        <w:spacing w:after="0" w:line="117" w:lineRule="exact"/>
        <w:rPr>
          <w:sz w:val="20"/>
          <w:szCs w:val="20"/>
          <w:color w:val="auto"/>
        </w:rPr>
      </w:pPr>
    </w:p>
    <w:p>
      <w:pPr>
        <w:ind w:left="500" w:hanging="492"/>
        <w:spacing w:after="0"/>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Star Group, L.P. (“Registrant”);</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00" w:hanging="492"/>
        <w:spacing w:after="0" w:line="266"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00" w:right="60" w:hanging="493"/>
        <w:spacing w:after="0" w:line="266"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00" w:right="320" w:hanging="493"/>
        <w:spacing w:after="0" w:line="266"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800" w:hanging="493"/>
        <w:spacing w:after="0" w:line="282"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2020</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8"/>
          <w:szCs w:val="18"/>
          <w:color w:val="auto"/>
        </w:rPr>
        <w:t xml:space="preserve"> M. W</w:t>
      </w:r>
      <w:r>
        <w:rPr>
          <w:rFonts w:ascii="Times New Roman" w:cs="Times New Roman" w:eastAsia="Times New Roman" w:hAnsi="Times New Roman"/>
          <w:sz w:val="13"/>
          <w:szCs w:val="13"/>
          <w:color w:val="auto"/>
        </w:rPr>
        <w:t>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 w:lineRule="exact"/>
        <w:rPr>
          <w:sz w:val="20"/>
          <w:szCs w:val="20"/>
          <w:color w:val="auto"/>
        </w:rPr>
      </w:pPr>
    </w:p>
    <w:p>
      <w:pPr>
        <w:jc w:val="center"/>
        <w:ind w:right="734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right="73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right="7340"/>
        <w:spacing w:after="0"/>
        <w:rPr>
          <w:sz w:val="20"/>
          <w:szCs w:val="20"/>
          <w:color w:val="auto"/>
        </w:rPr>
      </w:pPr>
      <w:r>
        <w:rPr>
          <w:rFonts w:ascii="Times New Roman" w:cs="Times New Roman" w:eastAsia="Times New Roman" w:hAnsi="Times New Roman"/>
          <w:sz w:val="18"/>
          <w:szCs w:val="18"/>
          <w:b w:val="1"/>
          <w:bCs w:val="1"/>
          <w:color w:val="auto"/>
        </w:rPr>
        <w:t>Star Group, L.P.</w:t>
      </w:r>
    </w:p>
    <w:p>
      <w:pPr>
        <w:sectPr>
          <w:pgSz w:w="11900" w:h="16838" w:orient="portrait"/>
          <w:cols w:equalWidth="0" w:num="1">
            <w:col w:w="11240"/>
          </w:cols>
          <w:pgMar w:left="320" w:top="33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Ambury, certify that:</w:t>
      </w:r>
    </w:p>
    <w:p>
      <w:pPr>
        <w:spacing w:after="0" w:line="117" w:lineRule="exact"/>
        <w:rPr>
          <w:sz w:val="20"/>
          <w:szCs w:val="20"/>
          <w:color w:val="auto"/>
        </w:rPr>
      </w:pPr>
    </w:p>
    <w:p>
      <w:pPr>
        <w:ind w:left="500" w:hanging="492"/>
        <w:spacing w:after="0"/>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Star Group, L.P. (“Registrant”);</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00" w:hanging="492"/>
        <w:spacing w:after="0" w:line="266" w:lineRule="auto"/>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00" w:right="60" w:hanging="493"/>
        <w:spacing w:after="0" w:line="266" w:lineRule="auto"/>
        <w:tabs>
          <w:tab w:leader="none" w:pos="10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00" w:right="320" w:hanging="493"/>
        <w:spacing w:after="0" w:line="266" w:lineRule="auto"/>
        <w:tabs>
          <w:tab w:leader="none" w:pos="10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800" w:hanging="493"/>
        <w:spacing w:after="0" w:line="282"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2020</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A</w:t>
      </w:r>
      <w:r>
        <w:rPr>
          <w:rFonts w:ascii="Times New Roman" w:cs="Times New Roman" w:eastAsia="Times New Roman" w:hAnsi="Times New Roman"/>
          <w:sz w:val="13"/>
          <w:szCs w:val="13"/>
          <w:color w:val="auto"/>
        </w:rPr>
        <w:t>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 w:lineRule="exact"/>
        <w:rPr>
          <w:sz w:val="20"/>
          <w:szCs w:val="20"/>
          <w:color w:val="auto"/>
        </w:rPr>
      </w:pPr>
    </w:p>
    <w:p>
      <w:pPr>
        <w:jc w:val="center"/>
        <w:ind w:right="734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23" w:lineRule="exact"/>
        <w:rPr>
          <w:sz w:val="20"/>
          <w:szCs w:val="20"/>
          <w:color w:val="auto"/>
        </w:rPr>
      </w:pPr>
    </w:p>
    <w:p>
      <w:pPr>
        <w:jc w:val="center"/>
        <w:ind w:right="7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7340"/>
        <w:spacing w:after="0"/>
        <w:rPr>
          <w:sz w:val="20"/>
          <w:szCs w:val="20"/>
          <w:color w:val="auto"/>
        </w:rPr>
      </w:pPr>
      <w:r>
        <w:rPr>
          <w:rFonts w:ascii="Times New Roman" w:cs="Times New Roman" w:eastAsia="Times New Roman" w:hAnsi="Times New Roman"/>
          <w:sz w:val="18"/>
          <w:szCs w:val="18"/>
          <w:b w:val="1"/>
          <w:bCs w:val="1"/>
          <w:color w:val="auto"/>
        </w:rPr>
        <w:t>Star Group, L.P.</w:t>
      </w:r>
    </w:p>
    <w:p>
      <w:pPr>
        <w:sectPr>
          <w:pgSz w:w="11900" w:h="16838" w:orient="portrait"/>
          <w:cols w:equalWidth="0" w:num="1">
            <w:col w:w="11240"/>
          </w:cols>
          <w:pgMar w:left="320" w:top="33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Star Group, L.P. (the “Company”) on Form 10-K for the year ended September 30, 2020 as filed with the Securities and Exchange Commission on the date hereof (the “Report”), I, Jeffrey M. Woosnam, President and Chief Executive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1000" w:hanging="493"/>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STAR GROUP, L.P.</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KESTREL HEAT, LLC (General Partner)</w:t>
      </w:r>
    </w:p>
    <w:p>
      <w:pPr>
        <w:spacing w:after="0" w:line="207" w:lineRule="exact"/>
        <w:rPr>
          <w:sz w:val="20"/>
          <w:szCs w:val="20"/>
          <w:color w:val="auto"/>
        </w:rPr>
      </w:pPr>
    </w:p>
    <w:p>
      <w:pPr>
        <w:spacing w:after="0"/>
        <w:tabs>
          <w:tab w:leader="none" w:pos="5720" w:val="left"/>
          <w:tab w:leader="none" w:pos="7680" w:val="left"/>
        </w:tabs>
        <w:rPr>
          <w:sz w:val="20"/>
          <w:szCs w:val="20"/>
          <w:color w:val="auto"/>
        </w:rPr>
      </w:pPr>
      <w:r>
        <w:rPr>
          <w:rFonts w:ascii="Times New Roman" w:cs="Times New Roman" w:eastAsia="Times New Roman" w:hAnsi="Times New Roman"/>
          <w:sz w:val="18"/>
          <w:szCs w:val="18"/>
          <w:color w:val="auto"/>
        </w:rPr>
        <w:t>Date: December 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8"/>
          <w:szCs w:val="18"/>
          <w:color w:val="auto"/>
        </w:rPr>
        <w:t xml:space="preserve"> M. W</w:t>
      </w:r>
      <w:r>
        <w:rPr>
          <w:rFonts w:ascii="Times New Roman" w:cs="Times New Roman" w:eastAsia="Times New Roman" w:hAnsi="Times New Roman"/>
          <w:sz w:val="13"/>
          <w:szCs w:val="13"/>
          <w:color w:val="auto"/>
        </w:rPr>
        <w:t>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Star Group, L.P.</w:t>
      </w:r>
    </w:p>
    <w:p>
      <w:pPr>
        <w:sectPr>
          <w:pgSz w:w="11900" w:h="16838" w:orient="portrait"/>
          <w:cols w:equalWidth="0" w:num="1">
            <w:col w:w="11240"/>
          </w:cols>
          <w:pgMar w:left="320" w:top="33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Star Group, L.P. (the “Company”) on Form 10-K for the year ended September 30, 2020 as filed with the Securities and Exchange Commission on the date hereof (the “Report”), I, Richard F. Ambury, Chief Financial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1000" w:hanging="493"/>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STAR GROUP, L.P.</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KESTREL HEAT, LLC (General Partner)</w:t>
      </w:r>
    </w:p>
    <w:p>
      <w:pPr>
        <w:spacing w:after="0" w:line="207" w:lineRule="exact"/>
        <w:rPr>
          <w:sz w:val="20"/>
          <w:szCs w:val="20"/>
          <w:color w:val="auto"/>
        </w:rPr>
      </w:pPr>
    </w:p>
    <w:p>
      <w:pPr>
        <w:spacing w:after="0"/>
        <w:tabs>
          <w:tab w:leader="none" w:pos="5720" w:val="left"/>
          <w:tab w:leader="none" w:pos="7760" w:val="left"/>
        </w:tabs>
        <w:rPr>
          <w:sz w:val="20"/>
          <w:szCs w:val="20"/>
          <w:color w:val="auto"/>
        </w:rPr>
      </w:pPr>
      <w:r>
        <w:rPr>
          <w:rFonts w:ascii="Times New Roman" w:cs="Times New Roman" w:eastAsia="Times New Roman" w:hAnsi="Times New Roman"/>
          <w:sz w:val="18"/>
          <w:szCs w:val="18"/>
          <w:color w:val="auto"/>
        </w:rPr>
        <w:t>Date: December 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A</w:t>
      </w:r>
      <w:r>
        <w:rPr>
          <w:rFonts w:ascii="Times New Roman" w:cs="Times New Roman" w:eastAsia="Times New Roman" w:hAnsi="Times New Roman"/>
          <w:sz w:val="13"/>
          <w:szCs w:val="13"/>
          <w:color w:val="auto"/>
        </w:rPr>
        <w:t>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Star Group, L.P.</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lowerLetter"/>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lowerLetter"/>
      <w:start w:val="1"/>
    </w:lvl>
    <w:lvl w:ilvl="1">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1)"/>
      <w:numFmt w:val="lowerLetter"/>
      <w:start w:val="3"/>
    </w:lvl>
  </w:abstractNum>
  <w:abstractNum w:abstractNumId="18">
    <w:nsid w:val="15B5AF5C"/>
    <w:multiLevelType w:val="hybridMultilevel"/>
    <w:lvl w:ilvl="0">
      <w:lvlJc w:val="left"/>
      <w:lvlText w:val="%1)"/>
      <w:numFmt w:val="lowerLetter"/>
      <w:start w:val="1"/>
    </w:lvl>
  </w:abstractNum>
  <w:abstractNum w:abstractNumId="19">
    <w:nsid w:val="741226BB"/>
    <w:multiLevelType w:val="hybridMultilevel"/>
    <w:lvl w:ilvl="0">
      <w:lvlJc w:val="left"/>
      <w:lvlText w:val="(%1)"/>
      <w:numFmt w:val="lowerLetter"/>
      <w:start w:val="1"/>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1"/>
    </w:lvl>
    <w:lvl w:ilvl="1">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lowerLetter"/>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lowerLetter"/>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2"/>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lowerLetter"/>
      <w:start w:val="1"/>
    </w:lvl>
  </w:abstractNum>
  <w:abstractNum w:abstractNumId="37">
    <w:nsid w:val="6590700B"/>
    <w:multiLevelType w:val="hybridMultilevel"/>
    <w:lvl w:ilvl="0">
      <w:lvlJc w:val="left"/>
      <w:lvlText w:val="(%1)"/>
      <w:numFmt w:val="lowerLetter"/>
      <w:start w:val="3"/>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upperLetter"/>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4"/>
    </w:lvl>
  </w:abstractNum>
  <w:abstractNum w:abstractNumId="43">
    <w:nsid w:val="42C296BD"/>
    <w:multiLevelType w:val="hybridMultilevel"/>
    <w:lvl w:ilvl="0">
      <w:lvlJc w:val="left"/>
      <w:lvlText w:val="*"/>
      <w:numFmt w:val="bullet"/>
      <w:start w:val="1"/>
    </w:lvl>
    <w:lvl w:ilvl="1">
      <w:lvlJc w:val="left"/>
      <w:lvlText w:val="%2"/>
      <w:numFmt w:val="decimal"/>
      <w:start w:val="104"/>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1)"/>
      <w:numFmt w:val="decimal"/>
      <w:start w:val="1"/>
    </w:lvl>
    <w:lvl w:ilvl="1">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1)"/>
      <w:numFmt w:val="lowerLetter"/>
      <w:start w:val="1"/>
    </w:lvl>
  </w:abstractNum>
  <w:abstractNum w:abstractNumId="51">
    <w:nsid w:val="613EFDC5"/>
    <w:multiLevelType w:val="hybridMultilevel"/>
    <w:lvl w:ilvl="0">
      <w:lvlJc w:val="left"/>
      <w:lvlText w:val="(%1)"/>
      <w:numFmt w:val="lowerLetter"/>
      <w:start w:val="7"/>
    </w:lvl>
  </w:abstractNum>
  <w:abstractNum w:abstractNumId="52">
    <w:nsid w:val="BF72B14"/>
    <w:multiLevelType w:val="hybridMultilevel"/>
    <w:lvl w:ilvl="0">
      <w:lvlJc w:val="left"/>
      <w:lvlText w:val="(%1)"/>
      <w:numFmt w:val="lowerLetter"/>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1)"/>
      <w:numFmt w:val="lowerLetter"/>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lowerLetter"/>
      <w:start w:val="1"/>
    </w:lvl>
  </w:abstractNum>
  <w:abstractNum w:abstractNumId="62">
    <w:nsid w:val="6A5EE64"/>
    <w:multiLevelType w:val="hybridMultilevel"/>
    <w:lvl w:ilvl="0">
      <w:lvlJc w:val="left"/>
      <w:lvlText w:val="%1."/>
      <w:numFmt w:val="upperLetter"/>
      <w:start w:val="1"/>
    </w:lvl>
  </w:abstractNum>
  <w:abstractNum w:abstractNumId="63">
    <w:nsid w:val="14330624"/>
    <w:multiLevelType w:val="hybridMultilevel"/>
    <w:lvl w:ilvl="0">
      <w:lvlJc w:val="left"/>
      <w:lvlText w:val="%1."/>
      <w:numFmt w:val="upperLetter"/>
      <w:start w:val="2"/>
    </w:lvl>
  </w:abstractNum>
  <w:abstractNum w:abstractNumId="64">
    <w:nsid w:val="7FFFCA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5">
    <w:nsid w:val="1A27709E"/>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66">
    <w:nsid w:val="71EA1109"/>
    <w:multiLevelType w:val="hybridMultilevel"/>
    <w:lvl w:ilvl="0">
      <w:lvlJc w:val="left"/>
      <w:lvlText w:val="%1"/>
      <w:numFmt w:val="decimal"/>
      <w:start w:val="1"/>
    </w:lvl>
    <w:lvl w:ilvl="1">
      <w:lvlJc w:val="left"/>
      <w:lvlText w:val="(%2)"/>
      <w:numFmt w:val="lowerLetter"/>
      <w:start w:val="2"/>
    </w:lvl>
  </w:abstractNum>
  <w:abstractNum w:abstractNumId="67">
    <w:nsid w:val="100F59DC"/>
    <w:multiLevelType w:val="hybridMultilevel"/>
    <w:lvl w:ilvl="0">
      <w:lvlJc w:val="left"/>
      <w:lvlText w:val="%1."/>
      <w:numFmt w:val="decimal"/>
      <w:start w:val="7"/>
    </w:lvl>
    <w:lvl w:ilvl="1">
      <w:lvlJc w:val="left"/>
      <w:lvlText w:val="(%2)"/>
      <w:numFmt w:val="lowerLetter"/>
      <w:start w:val="1"/>
    </w:lvl>
  </w:abstractNum>
  <w:abstractNum w:abstractNumId="68">
    <w:nsid w:val="7FB7E0AA"/>
    <w:multiLevelType w:val="hybridMultilevel"/>
    <w:lvl w:ilvl="0">
      <w:lvlJc w:val="left"/>
      <w:lvlText w:val="%1"/>
      <w:numFmt w:val="decimal"/>
      <w:start w:val="1"/>
    </w:lvl>
    <w:lvl w:ilvl="1">
      <w:lvlJc w:val="left"/>
      <w:lvlText w:val="(%2)"/>
      <w:numFmt w:val="lowerLetter"/>
      <w:start w:val="2"/>
    </w:lvl>
  </w:abstractNum>
  <w:abstractNum w:abstractNumId="69">
    <w:nsid w:val="6EB5BD4"/>
    <w:multiLevelType w:val="hybridMultilevel"/>
    <w:lvl w:ilvl="0">
      <w:lvlJc w:val="left"/>
      <w:lvlText w:val="%1."/>
      <w:numFmt w:val="decimal"/>
      <w:start w:val="8"/>
    </w:lvl>
    <w:lvl w:ilvl="1">
      <w:lvlJc w:val="left"/>
      <w:lvlText w:val="%2"/>
      <w:numFmt w:val="lowerLetter"/>
      <w:start w:val="1"/>
    </w:lvl>
  </w:abstractNum>
  <w:abstractNum w:abstractNumId="70">
    <w:nsid w:val="6F6DD9AC"/>
    <w:multiLevelType w:val="hybridMultilevel"/>
    <w:lvl w:ilvl="0">
      <w:lvlJc w:val="left"/>
      <w:lvlText w:val="%1."/>
      <w:numFmt w:val="decimal"/>
      <w:start w:val="15"/>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Letter"/>
      <w:start w:val="4"/>
    </w:lvl>
  </w:abstractNum>
  <w:abstractNum w:abstractNumId="74">
    <w:nsid w:val="4C04A8AF"/>
    <w:multiLevelType w:val="hybridMultilevel"/>
    <w:lvl w:ilvl="0">
      <w:lvlJc w:val="left"/>
      <w:lvlText w:val="%1."/>
      <w:numFmt w:val="decimal"/>
      <w:start w:val="5"/>
    </w:lvl>
  </w:abstractNum>
  <w:abstractNum w:abstractNumId="75">
    <w:nsid w:val="1716703B"/>
    <w:multiLevelType w:val="hybridMultilevel"/>
    <w:lvl w:ilvl="0">
      <w:lvlJc w:val="left"/>
      <w:lvlText w:val="%1."/>
      <w:numFmt w:val="decimal"/>
      <w:start w:val="12"/>
    </w:lvl>
  </w:abstractNum>
  <w:abstractNum w:abstractNumId="76">
    <w:nsid w:val="14E17E33"/>
    <w:multiLevelType w:val="hybridMultilevel"/>
    <w:lvl w:ilvl="0">
      <w:lvlJc w:val="left"/>
      <w:lvlText w:val="%1."/>
      <w:numFmt w:val="decimal"/>
      <w:start w:val="13"/>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2"/>
    </w:lvl>
  </w:abstractNum>
  <w:abstractNum w:abstractNumId="79">
    <w:nsid w:val="68EBC550"/>
    <w:multiLevelType w:val="hybridMultilevel"/>
    <w:lvl w:ilvl="0">
      <w:lvlJc w:val="left"/>
      <w:lvlText w:val="%1."/>
      <w:numFmt w:val="decimal"/>
      <w:start w:val="3"/>
    </w:lvl>
  </w:abstractNum>
  <w:abstractNum w:abstractNumId="80">
    <w:nsid w:val="2DF6D648"/>
    <w:multiLevelType w:val="hybridMultilevel"/>
    <w:lvl w:ilvl="0">
      <w:lvlJc w:val="left"/>
      <w:lvlText w:val="%1."/>
      <w:numFmt w:val="decimal"/>
      <w:start w:val="4"/>
    </w:lvl>
  </w:abstractNum>
  <w:abstractNum w:abstractNumId="81">
    <w:nsid w:val="46B7D447"/>
    <w:multiLevelType w:val="hybridMultilevel"/>
    <w:lvl w:ilvl="0">
      <w:lvlJc w:val="left"/>
      <w:lvlText w:val="%1."/>
      <w:numFmt w:val="decimal"/>
      <w:start w:val="5"/>
    </w:lvl>
  </w:abstractNum>
  <w:abstractNum w:abstractNumId="82">
    <w:nsid w:val="4A2AC315"/>
    <w:multiLevelType w:val="hybridMultilevel"/>
    <w:lvl w:ilvl="0">
      <w:lvlJc w:val="left"/>
      <w:lvlText w:val="%1."/>
      <w:numFmt w:val="decimal"/>
      <w:start w:val="6"/>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decimal"/>
      <w:start w:val="7"/>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decimal"/>
      <w:start w:val="8"/>
    </w:lvl>
  </w:abstractNum>
  <w:abstractNum w:abstractNumId="87">
    <w:nsid w:val="60EF0119"/>
    <w:multiLevelType w:val="hybridMultilevel"/>
    <w:lvl w:ilvl="0">
      <w:lvlJc w:val="left"/>
      <w:lvlText w:val="%1."/>
      <w:numFmt w:val="decimal"/>
      <w:start w:val="9"/>
    </w:lvl>
  </w:abstractNum>
  <w:abstractNum w:abstractNumId="88">
    <w:nsid w:val="26F324BA"/>
    <w:multiLevelType w:val="hybridMultilevel"/>
    <w:lvl w:ilvl="0">
      <w:lvlJc w:val="left"/>
      <w:lvlText w:val="%1."/>
      <w:numFmt w:val="decimal"/>
      <w:start w:val="10"/>
    </w:lvl>
  </w:abstractNum>
  <w:abstractNum w:abstractNumId="89">
    <w:nsid w:val="7F01579B"/>
    <w:multiLevelType w:val="hybridMultilevel"/>
    <w:lvl w:ilvl="0">
      <w:lvlJc w:val="left"/>
      <w:lvlText w:val="%1."/>
      <w:numFmt w:val="decimal"/>
      <w:start w:val="11"/>
    </w:lvl>
  </w:abstractNum>
  <w:abstractNum w:abstractNumId="90">
    <w:nsid w:val="49DA307D"/>
    <w:multiLevelType w:val="hybridMultilevel"/>
    <w:lvl w:ilvl="0">
      <w:lvlJc w:val="left"/>
      <w:lvlText w:val="%1."/>
      <w:numFmt w:val="decimal"/>
      <w:start w:val="12"/>
    </w:lvl>
  </w:abstractNum>
  <w:abstractNum w:abstractNumId="91">
    <w:nsid w:val="7055A5F5"/>
    <w:multiLevelType w:val="hybridMultilevel"/>
    <w:lvl w:ilvl="0">
      <w:lvlJc w:val="left"/>
      <w:lvlText w:val="%1."/>
      <w:numFmt w:val="decimal"/>
      <w:start w:val="13"/>
    </w:lvl>
  </w:abstractNum>
  <w:abstractNum w:abstractNumId="92">
    <w:nsid w:val="5FB8370B"/>
    <w:multiLevelType w:val="hybridMultilevel"/>
    <w:lvl w:ilvl="0">
      <w:lvlJc w:val="left"/>
      <w:lvlText w:val="%1."/>
      <w:numFmt w:val="decimal"/>
      <w:start w:val="14"/>
    </w:lvl>
  </w:abstractNum>
  <w:abstractNum w:abstractNumId="93">
    <w:nsid w:val="50801EE1"/>
    <w:multiLevelType w:val="hybridMultilevel"/>
    <w:lvl w:ilvl="0">
      <w:lvlJc w:val="left"/>
      <w:lvlText w:val="%1."/>
      <w:numFmt w:val="decimal"/>
      <w:start w:val="15"/>
    </w:lvl>
  </w:abstractNum>
  <w:abstractNum w:abstractNumId="94">
    <w:nsid w:val="488AC1A"/>
    <w:multiLevelType w:val="hybridMultilevel"/>
    <w:lvl w:ilvl="0">
      <w:lvlJc w:val="left"/>
      <w:lvlText w:val="%1."/>
      <w:numFmt w:val="decimal"/>
      <w:start w:val="16"/>
    </w:lvl>
  </w:abstractNum>
  <w:abstractNum w:abstractNumId="95">
    <w:nsid w:val="5FB8011C"/>
    <w:multiLevelType w:val="hybridMultilevel"/>
    <w:lvl w:ilvl="0">
      <w:lvlJc w:val="left"/>
      <w:lvlText w:val="%1."/>
      <w:numFmt w:val="decimal"/>
      <w:start w:val="1"/>
    </w:lvl>
    <w:lvl w:ilvl="1">
      <w:lvlJc w:val="left"/>
      <w:lvlText w:val="(%2)"/>
      <w:numFmt w:val="lowerLetter"/>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3"/>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95" Type="http://schemas.openxmlformats.org/officeDocument/2006/relationships/hyperlink" Target="http://www.sec.gov/Archives/edgar/data/1002590/000119312506104640/dex31.htm" TargetMode="External"/><Relationship Id="rId96" Type="http://schemas.openxmlformats.org/officeDocument/2006/relationships/hyperlink" Target="http://www.sec.gov/Archives/edgar/data/1002590/000119312517322706/d480849dex31.htm" TargetMode="External"/><Relationship Id="rId97" Type="http://schemas.openxmlformats.org/officeDocument/2006/relationships/hyperlink" Target="http://www.sec.gov/Archives/edgar/data/0001002590/000119312517334126/d489060dex31.htm" TargetMode="External"/><Relationship Id="rId98" Type="http://schemas.openxmlformats.org/officeDocument/2006/relationships/hyperlink" Target="http://www.sec.gov/Archives/edgar/data/1002590/000119312505043876/dex992.htm" TargetMode="External"/><Relationship Id="rId99" Type="http://schemas.openxmlformats.org/officeDocument/2006/relationships/hyperlink" Target="http://www.sec.gov/Archives/edgar/data/0001002590/000119312506151018/dex992.htm" TargetMode="External"/><Relationship Id="rId100" Type="http://schemas.openxmlformats.org/officeDocument/2006/relationships/hyperlink" Target="http://www.sec.gov/Archives/edgar/data/1002590/000119312512308240/d382749dex991.htm" TargetMode="External"/><Relationship Id="rId101" Type="http://schemas.openxmlformats.org/officeDocument/2006/relationships/hyperlink" Target="http://www.sec.gov/Archives/edgar/data/1002590/000119312506151018/dex994.htm" TargetMode="External"/><Relationship Id="rId102" Type="http://schemas.openxmlformats.org/officeDocument/2006/relationships/hyperlink" Target="http://www.sec.gov/Archives/edgar/data/0001002590/000119312506212485/dex991.htm" TargetMode="External"/><Relationship Id="rId103" Type="http://schemas.openxmlformats.org/officeDocument/2006/relationships/hyperlink" Target="http://www.sec.gov/Archives/edgar/data/0001002590/000119312514439000/d785332dex107.htm" TargetMode="External"/><Relationship Id="rId104" Type="http://schemas.openxmlformats.org/officeDocument/2006/relationships/hyperlink" Target="http://www.sec.gov/Archives/edgar/data/0001002590/000119312507260790/dex1025.htm" TargetMode="External"/><Relationship Id="rId105" Type="http://schemas.openxmlformats.org/officeDocument/2006/relationships/hyperlink" Target="http://www.sec.gov/Archives/edgar/data/1002590/000119312507260790/dex1026.htm" TargetMode="External"/><Relationship Id="rId106" Type="http://schemas.openxmlformats.org/officeDocument/2006/relationships/hyperlink" Target="http://www.sec.gov/Archives/edgar/data/1002590/000119312508251288/dex1029.htm" TargetMode="External"/><Relationship Id="rId107" Type="http://schemas.openxmlformats.org/officeDocument/2006/relationships/hyperlink" Target="http://www.sec.gov/Archives/edgar/data/1002590/000119312509222186/dex101.htm" TargetMode="External"/><Relationship Id="rId108" Type="http://schemas.openxmlformats.org/officeDocument/2006/relationships/hyperlink" Target="http://www.sec.gov/Archives/edgar/data/0001002590/000117184313002877/exh_103.htm" TargetMode="External"/><Relationship Id="rId111" Type="http://schemas.openxmlformats.org/officeDocument/2006/relationships/hyperlink" Target="http://www.sec.gov/Archives/edgar/data/0001002590/000119312515336573/d32024dex991.htm" TargetMode="External"/><Relationship Id="rId112" Type="http://schemas.openxmlformats.org/officeDocument/2006/relationships/hyperlink" Target="http://www.sec.gov/Archives/edgar/data/1002590/000119312516787480/d260533dex1022.htm" TargetMode="External"/><Relationship Id="rId113" Type="http://schemas.openxmlformats.org/officeDocument/2006/relationships/hyperlink" Target="http://www.sec.gov/Archives/edgar/data/1002590/000095012319006095/sgu-ex1020_6.htm" TargetMode="External"/><Relationship Id="rId114" Type="http://schemas.openxmlformats.org/officeDocument/2006/relationships/hyperlink" Target="http://www.sec.gov/Archives/edgar/data/0001002590/000156459019045389/sgu-ex1022_213.htm" TargetMode="External"/><Relationship Id="rId115" Type="http://schemas.openxmlformats.org/officeDocument/2006/relationships/hyperlink" Target="http://www.sec.gov/Archives/edgar/data/0001002590/000156459019045389/sgu-ex1023_214.htm" TargetMode="External"/><Relationship Id="rId116" Type="http://schemas.openxmlformats.org/officeDocument/2006/relationships/hyperlink" Target="http://www.sec.gov/Archives/edgar/data/1002590/000119312514413222/d81610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2020-12-07T15:51:41Z</dcterms:created>
  <dcterms:modified xsi:type="dcterms:W3CDTF">2020-12-07T15:51:41Z</dcterms:modified>
</cp:coreProperties>
</file>