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59690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2)</w:t>
      </w:r>
    </w:p>
    <w:p>
      <w:pPr>
        <w:spacing w:after="0" w:line="232" w:lineRule="auto"/>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2024</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33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3648710</wp:posOffset>
            </wp:positionH>
            <wp:positionV relativeFrom="paragraph">
              <wp:posOffset>-19685</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001-14129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80010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STAR GROUP, L.P.</w:t>
      </w:r>
    </w:p>
    <w:p>
      <w:pPr>
        <w:spacing w:after="0" w:line="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38735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0" w:lineRule="exact"/>
        <w:rPr>
          <w:sz w:val="24"/>
          <w:szCs w:val="24"/>
          <w:color w:val="auto"/>
        </w:rPr>
      </w:pPr>
    </w:p>
    <w:tbl>
      <w:tblPr>
        <w:tblLayout w:type="fixed"/>
        <w:tblInd w:w="900" w:type="dxa"/>
        <w:tblCellMar>
          <w:top w:w="0" w:type="dxa"/>
          <w:left w:w="0" w:type="dxa"/>
          <w:bottom w:w="0" w:type="dxa"/>
          <w:right w:w="0" w:type="dxa"/>
        </w:tblCellMar>
      </w:tblPr>
      <w:tr>
        <w:trPr>
          <w:trHeight w:val="194"/>
        </w:trPr>
        <w:tc>
          <w:tcPr>
            <w:tcW w:w="6680" w:type="dxa"/>
            <w:vAlign w:val="bottom"/>
          </w:tcPr>
          <w:p>
            <w:pPr>
              <w:jc w:val="center"/>
              <w:ind w:right="282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4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06-1437793</w:t>
            </w:r>
          </w:p>
        </w:tc>
      </w:tr>
      <w:tr>
        <w:trPr>
          <w:trHeight w:val="149"/>
        </w:trPr>
        <w:tc>
          <w:tcPr>
            <w:tcW w:w="6680" w:type="dxa"/>
            <w:vAlign w:val="bottom"/>
          </w:tcPr>
          <w:p>
            <w:pPr>
              <w:jc w:val="center"/>
              <w:ind w:right="282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680" w:type="dxa"/>
            <w:vAlign w:val="bottom"/>
          </w:tcPr>
          <w:p>
            <w:pPr>
              <w:jc w:val="center"/>
              <w:ind w:right="28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6680" w:type="dxa"/>
            <w:vAlign w:val="bottom"/>
          </w:tcPr>
          <w:p>
            <w:pPr>
              <w:jc w:val="center"/>
              <w:ind w:right="2823"/>
              <w:spacing w:after="0"/>
              <w:rPr>
                <w:sz w:val="20"/>
                <w:szCs w:val="20"/>
                <w:color w:val="auto"/>
              </w:rPr>
            </w:pPr>
            <w:r>
              <w:rPr>
                <w:rFonts w:ascii="Times New Roman" w:cs="Times New Roman" w:eastAsia="Times New Roman" w:hAnsi="Times New Roman"/>
                <w:sz w:val="16"/>
                <w:szCs w:val="16"/>
                <w:b w:val="1"/>
                <w:bCs w:val="1"/>
                <w:color w:val="auto"/>
              </w:rPr>
              <w:t>9 West Broad Street, Suite 310, Stamford, Connecticut</w:t>
            </w:r>
          </w:p>
        </w:tc>
        <w:tc>
          <w:tcPr>
            <w:tcW w:w="14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06902</w:t>
            </w:r>
          </w:p>
        </w:tc>
      </w:tr>
      <w:tr>
        <w:trPr>
          <w:trHeight w:val="190"/>
        </w:trPr>
        <w:tc>
          <w:tcPr>
            <w:tcW w:w="6680" w:type="dxa"/>
            <w:vAlign w:val="bottom"/>
          </w:tcPr>
          <w:p>
            <w:pPr>
              <w:jc w:val="center"/>
              <w:ind w:right="28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144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28"/>
        </w:trPr>
        <w:tc>
          <w:tcPr>
            <w:tcW w:w="6680" w:type="dxa"/>
            <w:vAlign w:val="bottom"/>
          </w:tcPr>
          <w:p>
            <w:pPr>
              <w:jc w:val="right"/>
              <w:ind w:right="1343"/>
              <w:spacing w:after="0"/>
              <w:rPr>
                <w:sz w:val="20"/>
                <w:szCs w:val="20"/>
                <w:color w:val="auto"/>
              </w:rPr>
            </w:pPr>
            <w:r>
              <w:rPr>
                <w:rFonts w:ascii="Times New Roman" w:cs="Times New Roman" w:eastAsia="Times New Roman" w:hAnsi="Times New Roman"/>
                <w:sz w:val="18"/>
                <w:szCs w:val="18"/>
                <w:b w:val="1"/>
                <w:bCs w:val="1"/>
                <w:color w:val="auto"/>
              </w:rPr>
              <w:t>(203) 328-7310</w:t>
            </w:r>
          </w:p>
        </w:tc>
        <w:tc>
          <w:tcPr>
            <w:tcW w:w="1440" w:type="dxa"/>
            <w:vAlign w:val="bottom"/>
          </w:tcPr>
          <w:p>
            <w:pPr>
              <w:spacing w:after="0"/>
              <w:rPr>
                <w:sz w:val="19"/>
                <w:szCs w:val="19"/>
                <w:color w:val="auto"/>
              </w:rPr>
            </w:pPr>
          </w:p>
        </w:tc>
      </w:tr>
      <w:tr>
        <w:trPr>
          <w:trHeight w:val="190"/>
        </w:trPr>
        <w:tc>
          <w:tcPr>
            <w:tcW w:w="6680" w:type="dxa"/>
            <w:vAlign w:val="bottom"/>
          </w:tcPr>
          <w:p>
            <w:pPr>
              <w:jc w:val="center"/>
              <w:ind w:left="266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80" w:type="dxa"/>
            <w:vAlign w:val="bottom"/>
            <w:vMerge w:val="restart"/>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80" w:type="dxa"/>
            <w:vAlign w:val="bottom"/>
          </w:tcPr>
          <w:p>
            <w:pPr>
              <w:spacing w:after="0"/>
              <w:rPr>
                <w:sz w:val="13"/>
                <w:szCs w:val="13"/>
                <w:color w:val="auto"/>
              </w:rPr>
            </w:pPr>
          </w:p>
        </w:tc>
        <w:tc>
          <w:tcPr>
            <w:tcW w:w="3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80" w:type="dxa"/>
            <w:vAlign w:val="bottom"/>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SGU</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0"/>
        </w:trPr>
        <w:tc>
          <w:tcPr>
            <w:tcW w:w="3480" w:type="dxa"/>
            <w:vAlign w:val="bottom"/>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Common Unit Purchase Rights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450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3740" w:type="dxa"/>
            <w:vAlign w:val="bottom"/>
            <w:gridSpan w:val="2"/>
          </w:tcPr>
          <w:p>
            <w:pPr>
              <w:spacing w:after="0"/>
              <w:rPr>
                <w:sz w:val="7"/>
                <w:szCs w:val="7"/>
                <w:color w:val="auto"/>
              </w:rPr>
            </w:pPr>
          </w:p>
        </w:tc>
        <w:tc>
          <w:tcPr>
            <w:tcW w:w="3680" w:type="dxa"/>
            <w:vAlign w:val="bottom"/>
            <w:tcBorders>
              <w:bottom w:val="single" w:sz="8" w:color="auto"/>
            </w:tcBorders>
            <w:gridSpan w:val="5"/>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742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420" w:type="dxa"/>
            <w:vAlign w:val="bottom"/>
            <w:gridSpan w:val="7"/>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80" w:type="dxa"/>
            <w:vAlign w:val="bottom"/>
          </w:tcPr>
          <w:p>
            <w:pPr>
              <w:spacing w:after="0"/>
              <w:rPr>
                <w:sz w:val="21"/>
                <w:szCs w:val="21"/>
                <w:color w:val="auto"/>
              </w:rPr>
            </w:pPr>
          </w:p>
        </w:tc>
        <w:tc>
          <w:tcPr>
            <w:tcW w:w="48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4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8"/>
        </w:trPr>
        <w:tc>
          <w:tcPr>
            <w:tcW w:w="21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40"/>
              <w:spacing w:after="0" w:line="148" w:lineRule="exact"/>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8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6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aggregate market value of the registrant’s common units held by non-affiliates on March 31, 2024 was approximately $313,349,949</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November 30, 2024, the registrant had 34,577,855 common units outstanding.</w:t>
      </w:r>
    </w:p>
    <w:p>
      <w:pPr>
        <w:spacing w:after="0" w:line="4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5" w:lineRule="exact"/>
        <w:rPr>
          <w:sz w:val="20"/>
          <w:szCs w:val="20"/>
          <w:color w:val="auto"/>
        </w:rPr>
      </w:pPr>
    </w:p>
    <w:p>
      <w:pPr>
        <w:spacing w:after="0"/>
        <w:tabs>
          <w:tab w:leader="none" w:pos="1240" w:val="left"/>
          <w:tab w:leader="none" w:pos="1114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8"/>
          <w:szCs w:val="18"/>
          <w:u w:val="single" w:color="auto"/>
          <w:color w:val="0000FF"/>
        </w:rPr>
        <w:t>Exhibits and Financial Statement Schedules</w:t>
      </w:r>
      <w:r>
        <w:rPr>
          <w:sz w:val="20"/>
          <w:szCs w:val="20"/>
          <w:color w:val="auto"/>
        </w:rPr>
        <w:tab/>
      </w: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2005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Amendment No. 2 on Form 10-K/A (this “Amendment”) amends our Annual Report on Form 10-K for the fiscal year ended September 30, 2024 of Star Group, L.P. as filed with the Securities and Exchange Commission (the “SEC”) on December 4, 2024, as amended by Amendment No. 1 to Form 10-K as filed with the SEC on February 25, 2025 (the “Original Filing”). This Amendment is being filed solely to incorporate by reference previously-filed Exhibit 3.4 and Exhibit 4.1 that were inadvertently omitted from the Index to Exhibits in the Original Filing. No other changes have been made to the Original Form 10-K.</w:t>
      </w:r>
    </w:p>
    <w:p>
      <w:pPr>
        <w:spacing w:after="0" w:line="1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Amendment does not amend or update any other information set forth in the Original Filing and we have not updated disclosures contained therein to reflect any events that occurred at a date subsequent to date of the Original Filing.</w:t>
      </w:r>
    </w:p>
    <w:p>
      <w:pPr>
        <w:spacing w:after="0" w:line="10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Pursuant to Rule 12b-15 of the Securities Exchange Act of 1934, as amended (the “Exchange Act”), currently dated certifications are filed herewith as exhibits to this Amendment pursuant to Rule 13a-14(a) or 15d-14(a) of the Exchange Act under Item 15 of Part IV hereof. Because no financial statements have been included in this Amendment and this Amendment does not contain any disclosure with respect to Items 307 and 308 of Regulation S-K, paragraphs 3, 4, and 5 of the certifications have been omitted. Similarly, because no financial statements have been included in this Amendment, certifications pursuant to Section 906 of the Sarbanes-Oxley Act of 2002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r>
      <w:tr>
        <w:trPr>
          <w:trHeight w:val="540"/>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80" w:type="dxa"/>
            <w:vAlign w:val="bottom"/>
            <w:gridSpan w:val="6"/>
          </w:tcPr>
          <w:p>
            <w:pPr>
              <w:ind w:left="24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45"/>
        </w:trPr>
        <w:tc>
          <w:tcPr>
            <w:tcW w:w="58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7"/>
        </w:trPr>
        <w:tc>
          <w:tcPr>
            <w:tcW w:w="58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380" w:type="dxa"/>
            <w:vAlign w:val="bottom"/>
            <w:tcBorders>
              <w:bottom w:val="single" w:sz="8" w:color="auto"/>
            </w:tcBorders>
            <w:gridSpan w:val="6"/>
          </w:tcPr>
          <w:p>
            <w:pPr>
              <w:ind w:left="3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1"/>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Amendment No. 1 to Third Amended and Restated Agreement of Limited Partnership of Star Group, L.P. (incorporated</w:t>
              </w:r>
            </w:hyperlink>
          </w:p>
        </w:tc>
        <w:tc>
          <w:tcPr>
            <w:tcW w:w="120" w:type="dxa"/>
            <w:vAlign w:val="bottom"/>
            <w:gridSpan w:val="2"/>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0" w:type="dxa"/>
            <w:vAlign w:val="bottom"/>
            <w:gridSpan w:val="7"/>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by reference to an exhibit to the Registrant’s Current Report on Form 8-K filed with the Commission on March 24, 2023).</w:t>
              </w:r>
            </w:hyperlink>
          </w:p>
        </w:tc>
      </w:tr>
      <w:tr>
        <w:trPr>
          <w:trHeight w:val="318"/>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Unit Purchase Rights Agreement dated as of March 24, 2023 by and between the Registrant and Computershare Trust</w:t>
              </w:r>
            </w:hyperlink>
          </w:p>
        </w:tc>
        <w:tc>
          <w:tcPr>
            <w:tcW w:w="260" w:type="dxa"/>
            <w:vAlign w:val="bottom"/>
            <w:tcBorders>
              <w:top w:val="single" w:sz="8" w:color="0000FF"/>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Company, N.A., as rights agent (which includes the form of Rights Certificate as Exhibit A thereto) (incorporated by</w:t>
              </w:r>
            </w:hyperlink>
          </w:p>
        </w:tc>
        <w:tc>
          <w:tcPr>
            <w:tcW w:w="340" w:type="dxa"/>
            <w:vAlign w:val="bottom"/>
            <w:gridSpan w:val="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0" w:type="dxa"/>
            <w:vAlign w:val="bottom"/>
            <w:gridSpan w:val="7"/>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reference as an exhibit to the Registrant's Form 8-A filed with the Commission on March 24, 2023).</w:t>
              </w:r>
            </w:hyperlink>
          </w:p>
        </w:tc>
      </w:tr>
      <w:tr>
        <w:trPr>
          <w:trHeight w:val="20"/>
        </w:trPr>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78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18"/>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31.5*</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Star Group, L.P., filed pursuant to Section 302 of the Sarbanes-Oxley Act of</w:t>
            </w:r>
          </w:p>
        </w:tc>
        <w:tc>
          <w:tcPr>
            <w:tcW w:w="28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6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318"/>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31.6*</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Star Group, L.P., filed pursuant to Section 302 of the Sarbanes-Oxley Act of</w:t>
            </w:r>
          </w:p>
        </w:tc>
        <w:tc>
          <w:tcPr>
            <w:tcW w:w="340" w:type="dxa"/>
            <w:vAlign w:val="bottom"/>
            <w:gridSpan w:val="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0000FF"/>
                <w:w w:val="93"/>
              </w:rPr>
              <w:t>2022.</w:t>
            </w:r>
          </w:p>
        </w:tc>
        <w:tc>
          <w:tcPr>
            <w:tcW w:w="6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6"/>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5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8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1880" w:hanging="1305"/>
        <w:spacing w:after="0"/>
        <w:tabs>
          <w:tab w:leader="none" w:pos="1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general partner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GROUP,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KESTREL HEAT, LLC (General Partner)</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M. Woosnam</w:t>
            </w:r>
          </w:p>
        </w:tc>
      </w:tr>
      <w:tr>
        <w:trPr>
          <w:trHeight w:val="437"/>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Jeffrey M. Woosnam</w:t>
            </w:r>
          </w:p>
        </w:tc>
      </w:tr>
      <w:tr>
        <w:trPr>
          <w:trHeight w:val="238"/>
        </w:trPr>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45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Jeffrey M. Woosnam</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 Kestrel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Jeffrey M. Woosnam</w:t>
            </w:r>
          </w:p>
        </w:tc>
        <w:tc>
          <w:tcPr>
            <w:tcW w:w="12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Richard F. Ambury</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F. Ambury</w:t>
            </w:r>
          </w:p>
        </w:tc>
        <w:tc>
          <w:tcPr>
            <w:tcW w:w="12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Kestrel Heat, LLC</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Woosnam,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 of Star Group, L.P.; and</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3"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Ambury,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 of Star Group, L.P.; and</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3"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72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104"/>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8" Type="http://schemas.openxmlformats.org/officeDocument/2006/relationships/hyperlink" Target="https://www.sec.gov/Archives/edgar/data/1002590/000095017023009760/sgu-ex3_1.htm" TargetMode="External"/><Relationship Id="rId19" Type="http://schemas.openxmlformats.org/officeDocument/2006/relationships/hyperlink" Target="https://www.sec.gov/Archives/edgar/data/1002590/000095017023009740/sgu-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2025-05-19T05:09:08Z</dcterms:created>
  <dcterms:modified xsi:type="dcterms:W3CDTF">2025-05-19T05:09:08Z</dcterms:modified>
</cp:coreProperties>
</file>