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8k_071626.htm"/>
      <w:bookmarkStart w:id="1" w:name="ksf8k_071626"/>
      <w:bookmarkEnd w:id="0"/>
      <w:bookmarkEnd w:id="1"/>
      <w:r>
        <w:rPr>
          <w:b/>
          <w:sz w:val="36"/>
        </w:rPr>
        <w:t>UNITED STATES</w:t>
      </w:r>
    </w:p>
    <w:p>
      <w:pPr>
        <w:pStyle w:val="TextBody"/>
        <w:bidi w:val="0"/>
        <w:spacing w:before="0" w:after="0"/>
        <w:ind w:left="0" w:right="0" w:hanging="0"/>
        <w:jc w:val="center"/>
        <w:rPr>
          <w:b/>
          <w:sz w:val="36"/>
        </w:rPr>
      </w:pPr>
      <w:r>
        <w:rPr>
          <w:b/>
          <w:sz w:val="36"/>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36"/>
        </w:rPr>
      </w:pPr>
      <w:r>
        <w:rPr>
          <w:b/>
          <w:sz w:val="36"/>
        </w:rPr>
        <w:t xml:space="preserve">FORM </w:t>
      </w:r>
      <w:bookmarkStart w:id="2" w:name="xdx_907_edei--DocumentType_c20260716__20"/>
      <w:bookmarkEnd w:id="2"/>
      <w:r>
        <w:rPr>
          <w:b/>
          <w:sz w:val="36"/>
        </w:rPr>
        <w:t>8-K</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b/>
          <w:sz w:val="20"/>
        </w:rPr>
      </w:pPr>
      <w:r>
        <w:rPr>
          <w:b/>
          <w:sz w:val="20"/>
        </w:rPr>
        <w:t>Pursuant to Section 13 or 15(d)</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7_edei--DocumentPeriodEndDate_c202"/>
      <w:bookmarkEnd w:id="3"/>
      <w:r>
        <w:rPr>
          <w:b/>
          <w:sz w:val="20"/>
        </w:rPr>
        <w:t>July 16, 2026</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48"/>
        </w:rPr>
      </w:pPr>
      <w:bookmarkStart w:id="4" w:name="xdx_907_edei--EntityRegistrantName_c2026"/>
      <w:bookmarkEnd w:id="4"/>
      <w:r>
        <w:rPr>
          <w:b/>
          <w:sz w:val="48"/>
        </w:rPr>
        <w:t>STAR GROUP, L.P.</w:t>
      </w:r>
    </w:p>
    <w:p>
      <w:pPr>
        <w:pStyle w:val="TextBody"/>
        <w:bidi w:val="0"/>
        <w:spacing w:before="0" w:after="0"/>
        <w:ind w:left="0" w:right="0" w:hanging="0"/>
        <w:jc w:val="center"/>
        <w:rPr>
          <w:b/>
          <w:sz w:val="20"/>
        </w:rPr>
      </w:pPr>
      <w:r>
        <w:rPr>
          <w:b/>
          <w:sz w:val="20"/>
        </w:rPr>
        <w:t>(Exact name of registrant as specified in its charter)</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9075" w:type="dxa"/>
        <w:jc w:val="left"/>
        <w:tblInd w:w="0" w:type="dxa"/>
        <w:tblLayout w:type="fixed"/>
        <w:tblCellMar>
          <w:top w:w="0" w:type="dxa"/>
          <w:left w:w="0" w:type="dxa"/>
          <w:bottom w:w="0" w:type="dxa"/>
          <w:right w:w="0" w:type="dxa"/>
        </w:tblCellMar>
      </w:tblPr>
      <w:tblGrid>
        <w:gridCol w:w="3770"/>
        <w:gridCol w:w="60"/>
        <w:gridCol w:w="2300"/>
        <w:gridCol w:w="60"/>
        <w:gridCol w:w="2885"/>
      </w:tblGrid>
      <w:tr>
        <w:trPr/>
        <w:tc>
          <w:tcPr>
            <w:tcW w:w="3770" w:type="dxa"/>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b/>
              </w:rPr>
            </w:pPr>
            <w:bookmarkStart w:id="6" w:name="xdx_90F_edei--EntityFileNumber_c20260716"/>
            <w:bookmarkEnd w:id="6"/>
            <w:r>
              <w:rPr>
                <w:b/>
              </w:rPr>
              <w:t>001-14129</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rPr>
            </w:pPr>
            <w:bookmarkStart w:id="7" w:name="xdx_903_edei--EntityTaxIdentificationNum"/>
            <w:bookmarkEnd w:id="7"/>
            <w:r>
              <w:rPr>
                <w:b/>
              </w:rPr>
              <w:t>06-1437793</w:t>
            </w:r>
          </w:p>
        </w:tc>
      </w:tr>
      <w:tr>
        <w:trPr/>
        <w:tc>
          <w:tcPr>
            <w:tcW w:w="3770" w:type="dxa"/>
            <w:tcBorders/>
            <w:vAlign w:val="center"/>
          </w:tcPr>
          <w:p>
            <w:pPr>
              <w:pStyle w:val="TableContents"/>
              <w:bidi w:val="0"/>
              <w:spacing w:before="0" w:after="0"/>
              <w:ind w:left="0" w:right="0" w:hanging="0"/>
              <w:jc w:val="center"/>
              <w:rPr>
                <w:b/>
                <w:sz w:val="20"/>
              </w:rPr>
            </w:pPr>
            <w:r>
              <w:rPr>
                <w:b/>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0"/>
              <w:ind w:left="0" w:right="0" w:hanging="0"/>
              <w:jc w:val="center"/>
              <w:rPr>
                <w:b/>
                <w:sz w:val="20"/>
              </w:rPr>
            </w:pPr>
            <w:r>
              <w:rPr>
                <w:b/>
                <w:sz w:val="20"/>
              </w:rPr>
              <w:t>(Commission File Number)</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0"/>
              <w:ind w:left="0" w:right="0" w:hanging="0"/>
              <w:jc w:val="center"/>
              <w:rPr>
                <w:b/>
                <w:sz w:val="20"/>
              </w:rPr>
            </w:pPr>
            <w:r>
              <w:rPr>
                <w:b/>
                <w:sz w:val="20"/>
              </w:rPr>
              <w:t>(IRS Employer 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8" w:name="xdx_903_edei--EntityAddressAddressLine1_"/>
      <w:bookmarkEnd w:id="8"/>
      <w:r>
        <w:rPr>
          <w:b/>
          <w:sz w:val="20"/>
        </w:rPr>
        <w:t xml:space="preserve">9 West Broad Street Suite 310, </w:t>
      </w:r>
      <w:bookmarkStart w:id="9" w:name="xdx_908_edei--EntityAddressCityOrTown_c2"/>
      <w:bookmarkEnd w:id="9"/>
      <w:r>
        <w:rPr>
          <w:b/>
          <w:sz w:val="20"/>
        </w:rPr>
        <w:t xml:space="preserve">Stamford, </w:t>
      </w:r>
      <w:bookmarkStart w:id="10" w:name="xdx_909_edei--EntityAddressStateOrProvin"/>
      <w:bookmarkEnd w:id="10"/>
      <w:r>
        <w:rPr>
          <w:b/>
          <w:sz w:val="20"/>
        </w:rPr>
        <w:t xml:space="preserve">CT </w:t>
      </w:r>
      <w:bookmarkStart w:id="11" w:name="xdx_909_edei--EntityAddressPostalZipCode"/>
      <w:bookmarkEnd w:id="11"/>
      <w:r>
        <w:rPr>
          <w:b/>
          <w:sz w:val="20"/>
        </w:rPr>
        <w:t>06902</w:t>
      </w:r>
    </w:p>
    <w:p>
      <w:pPr>
        <w:pStyle w:val="TextBody"/>
        <w:bidi w:val="0"/>
        <w:spacing w:before="0" w:after="0"/>
        <w:ind w:left="0" w:right="0" w:hanging="0"/>
        <w:jc w:val="center"/>
        <w:rPr>
          <w:b/>
          <w:sz w:val="20"/>
        </w:rPr>
      </w:pPr>
      <w:r>
        <w:rPr>
          <w:b/>
          <w:sz w:val="20"/>
        </w:rPr>
        <w:t>(Address of principal executive offices) (Zip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 xml:space="preserve">Registrant’s telephone number, including area code </w:t>
      </w:r>
      <w:bookmarkStart w:id="12" w:name="xdx_90F_edei--CityAreaCode_c20260716__20"/>
      <w:bookmarkEnd w:id="12"/>
      <w:r>
        <w:rPr>
          <w:b/>
          <w:sz w:val="20"/>
          <w:u w:val="single"/>
        </w:rPr>
        <w:t xml:space="preserve">(203) </w:t>
      </w:r>
      <w:bookmarkStart w:id="13" w:name="xdx_90A_edei--LocalPhoneNumber_c20260716"/>
      <w:bookmarkEnd w:id="13"/>
      <w:r>
        <w:rPr>
          <w:b/>
          <w:sz w:val="20"/>
          <w:u w:val="single"/>
        </w:rPr>
        <w:t>328-7310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4" w:name="xdx_90B_edei--EntityInformationFormerLeg"/>
      <w:bookmarkEnd w:id="14"/>
      <w:r>
        <w:rPr>
          <w:b/>
          <w:sz w:val="20"/>
        </w:rPr>
        <w:t>Not Applicable</w:t>
      </w:r>
    </w:p>
    <w:p>
      <w:pPr>
        <w:pStyle w:val="TextBody"/>
        <w:bidi w:val="0"/>
        <w:spacing w:before="0" w:after="0"/>
        <w:ind w:left="0" w:right="0" w:hanging="0"/>
        <w:jc w:val="center"/>
        <w:rPr>
          <w:b/>
          <w:sz w:val="20"/>
        </w:rPr>
      </w:pPr>
      <w:r>
        <w:rPr>
          <w:b/>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F_edei--SolicitingMaterial_c202607"/>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7680" w:type="dxa"/>
        <w:jc w:val="left"/>
        <w:tblInd w:w="0" w:type="dxa"/>
        <w:tblLayout w:type="fixed"/>
        <w:tblCellMar>
          <w:top w:w="0" w:type="dxa"/>
          <w:left w:w="0" w:type="dxa"/>
          <w:bottom w:w="28" w:type="dxa"/>
          <w:right w:w="0" w:type="dxa"/>
        </w:tblCellMar>
      </w:tblPr>
      <w:tblGrid>
        <w:gridCol w:w="2990"/>
        <w:gridCol w:w="60"/>
        <w:gridCol w:w="860"/>
        <w:gridCol w:w="60"/>
        <w:gridCol w:w="3710"/>
      </w:tblGrid>
      <w:tr>
        <w:trPr/>
        <w:tc>
          <w:tcPr>
            <w:tcW w:w="299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b/>
                <w:sz w:val="20"/>
              </w:rPr>
            </w:pPr>
            <w:r>
              <w:rPr>
                <w:b/>
                <w:sz w:val="20"/>
              </w:rPr>
              <w:t>Trading</w:t>
            </w:r>
          </w:p>
          <w:p>
            <w:pPr>
              <w:pStyle w:val="TableContents"/>
              <w:bidi w:val="0"/>
              <w:spacing w:before="0" w:after="0"/>
              <w:ind w:left="0" w:right="0" w:hanging="0"/>
              <w:jc w:val="center"/>
              <w:rPr>
                <w:b/>
                <w:sz w:val="20"/>
              </w:rPr>
            </w:pPr>
            <w:r>
              <w:rPr>
                <w:b/>
                <w:sz w:val="20"/>
              </w:rP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990" w:type="dxa"/>
            <w:tcBorders/>
            <w:tcMar>
              <w:bottom w:w="0" w:type="dxa"/>
            </w:tcMar>
            <w:vAlign w:val="center"/>
          </w:tcPr>
          <w:p>
            <w:pPr>
              <w:pStyle w:val="TableContents"/>
              <w:bidi w:val="0"/>
              <w:spacing w:before="0" w:after="283"/>
              <w:jc w:val="center"/>
              <w:rPr/>
            </w:pPr>
            <w:bookmarkStart w:id="19" w:name="xdx_903_edei--Security12bTitle_c20260716"/>
            <w:bookmarkEnd w:id="19"/>
            <w:r>
              <w:rPr/>
              <w:t>Common Units</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pPr>
            <w:bookmarkStart w:id="20" w:name="xdx_903_edei--TradingSymbol_c20260716__2"/>
            <w:bookmarkEnd w:id="20"/>
            <w:r>
              <w:rPr/>
              <w:t>SGU</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bookmarkStart w:id="21" w:name="xdx_901_edei--SecurityExchangeName_c2026"/>
            <w:bookmarkEnd w:id="21"/>
            <w:r>
              <w:rPr/>
              <w:t>New York Stock Exchange</w:t>
            </w:r>
          </w:p>
        </w:tc>
      </w:tr>
      <w:tr>
        <w:trPr/>
        <w:tc>
          <w:tcPr>
            <w:tcW w:w="2990" w:type="dxa"/>
            <w:tcBorders/>
            <w:tcMar>
              <w:bottom w:w="0" w:type="dxa"/>
            </w:tcMar>
            <w:vAlign w:val="center"/>
          </w:tcPr>
          <w:p>
            <w:pPr>
              <w:pStyle w:val="TableContents"/>
              <w:bidi w:val="0"/>
              <w:spacing w:before="0" w:after="283"/>
              <w:jc w:val="center"/>
              <w:rPr/>
            </w:pPr>
            <w:bookmarkStart w:id="22" w:name="xdx_90F_edei--Security12bTitle_c20260716"/>
            <w:bookmarkEnd w:id="22"/>
            <w:r>
              <w:rPr/>
              <w:t>Common Unit Purchase Rights</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pPr>
            <w:bookmarkStart w:id="23" w:name="xdx_903_edei--TradingSymbol_c20260716__2"/>
            <w:bookmarkEnd w:id="23"/>
            <w:r>
              <w:rPr/>
              <w:t>N/A</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bookmarkStart w:id="24" w:name="xdx_901_edei--SecurityExchangeName_c2026"/>
            <w:bookmarkEnd w:id="24"/>
            <w:r>
              <w:rPr/>
              <w:t>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5" w:name="xdx_908_edei--EntityEmergingGrowthCompan"/>
      <w:bookmarkEnd w:id="25"/>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sz w:val="20"/>
        </w:rPr>
      </w:pPr>
      <w:r>
        <w:rPr>
          <w:b/>
          <w:sz w:val="20"/>
        </w:rPr>
        <w:t>Item 8.01.</w:t>
      </w:r>
      <w:r>
        <w:rPr>
          <w:sz w:val="20"/>
        </w:rPr>
        <w:t xml:space="preserve"> </w:t>
      </w:r>
      <w:r>
        <w:rPr>
          <w:b/>
          <w:sz w:val="20"/>
        </w:rPr>
        <w:t>Other Events.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On July 16, 2026, Star Group, L.P., a Delaware partnership, issued a press release declaring its quarterly distribution on all units for the fiscal third quarter ended June 30, 2026. A copy of the press release is furnished within this report as Exhibit 99.1.</w:t>
      </w:r>
    </w:p>
    <w:p>
      <w:pPr>
        <w:pStyle w:val="TextBody"/>
        <w:bidi w:val="0"/>
        <w:spacing w:before="0" w:after="0"/>
        <w:ind w:left="0" w:right="0" w:hanging="0"/>
        <w:jc w:val="left"/>
        <w:rPr/>
      </w:pPr>
      <w:r>
        <w:rPr/>
        <w:t> </w:t>
      </w:r>
    </w:p>
    <w:p>
      <w:pPr>
        <w:pStyle w:val="TextBody"/>
        <w:bidi w:val="0"/>
        <w:spacing w:before="0" w:after="0"/>
        <w:ind w:left="0" w:right="0" w:firstLine="490"/>
        <w:jc w:val="both"/>
        <w:rPr>
          <w:sz w:val="20"/>
        </w:rPr>
      </w:pPr>
      <w:r>
        <w:rPr>
          <w:sz w:val="20"/>
        </w:rPr>
        <w:t>The information in this report is being furnished and is not deemed as "filed" for purposes of Section 18 of the Securities Exchange Act of 1934, as amended, and shall not be deemed incorporated by reference in any filings under the Securities Act of 1933, as amended, unless specifically stated so therein.</w:t>
      </w:r>
    </w:p>
    <w:p>
      <w:pPr>
        <w:pStyle w:val="TextBody"/>
        <w:bidi w:val="0"/>
        <w:spacing w:before="0" w:after="0"/>
        <w:ind w:left="0" w:right="0" w:firstLine="490"/>
        <w:jc w:val="left"/>
        <w:rPr/>
      </w:pPr>
      <w:r>
        <w:rPr/>
        <w:t> </w:t>
      </w:r>
    </w:p>
    <w:p>
      <w:pPr>
        <w:pStyle w:val="TextBody"/>
        <w:bidi w:val="0"/>
        <w:spacing w:before="0" w:after="0"/>
        <w:jc w:val="left"/>
        <w:rPr>
          <w:sz w:val="20"/>
        </w:rPr>
      </w:pPr>
      <w:r>
        <w:rPr>
          <w:b/>
          <w:sz w:val="20"/>
        </w:rPr>
        <w:t>Item 9.01.</w:t>
      </w:r>
      <w:r>
        <w:rPr>
          <w:sz w:val="20"/>
        </w:rPr>
        <w:t xml:space="preserve"> </w:t>
      </w:r>
      <w:r>
        <w:rPr>
          <w:b/>
          <w:sz w:val="20"/>
        </w:rPr>
        <w:t>Financial Statements and Exhibits.</w:t>
      </w:r>
    </w:p>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1055"/>
        <w:gridCol w:w="6485"/>
      </w:tblGrid>
      <w:tr>
        <w:trPr/>
        <w:tc>
          <w:tcPr>
            <w:tcW w:w="1055" w:type="dxa"/>
            <w:tcBorders/>
            <w:shd w:fill="FFFFFF" w:val="clear"/>
            <w:vAlign w:val="center"/>
          </w:tcPr>
          <w:p>
            <w:pPr>
              <w:pStyle w:val="TableContents"/>
              <w:bidi w:val="0"/>
              <w:spacing w:before="0" w:after="283"/>
              <w:jc w:val="left"/>
              <w:rPr/>
            </w:pPr>
            <w:hyperlink w:anchor="exh_991.htm">
              <w:r>
                <w:rPr>
                  <w:rStyle w:val="InternetLink"/>
                  <w:sz w:val="20"/>
                </w:rPr>
                <w:t>Exhibit 99.1</w:t>
              </w:r>
            </w:hyperlink>
          </w:p>
        </w:tc>
        <w:tc>
          <w:tcPr>
            <w:tcW w:w="6485" w:type="dxa"/>
            <w:tcBorders/>
            <w:shd w:fill="FFFFFF" w:val="clear"/>
            <w:vAlign w:val="center"/>
          </w:tcPr>
          <w:p>
            <w:pPr>
              <w:pStyle w:val="TableContents"/>
              <w:bidi w:val="0"/>
              <w:spacing w:before="0" w:after="283"/>
              <w:jc w:val="left"/>
              <w:rPr/>
            </w:pPr>
            <w:hyperlink w:anchor="exh_991.htm">
              <w:r>
                <w:rPr>
                  <w:rStyle w:val="InternetLink"/>
                  <w:sz w:val="20"/>
                </w:rPr>
                <w:t>A copy of the Star Group L.P. Press Release dated July 16, 2026</w:t>
              </w:r>
            </w:hyperlink>
          </w:p>
        </w:tc>
      </w:tr>
      <w:tr>
        <w:trPr/>
        <w:tc>
          <w:tcPr>
            <w:tcW w:w="1055" w:type="dxa"/>
            <w:tcBorders/>
            <w:shd w:fill="FFFFFF" w:val="clear"/>
            <w:vAlign w:val="center"/>
          </w:tcPr>
          <w:p>
            <w:pPr>
              <w:pStyle w:val="TableContents"/>
              <w:bidi w:val="0"/>
              <w:spacing w:before="0" w:after="283"/>
              <w:jc w:val="left"/>
              <w:rPr>
                <w:sz w:val="20"/>
              </w:rPr>
            </w:pPr>
            <w:r>
              <w:rPr>
                <w:sz w:val="20"/>
              </w:rPr>
              <w:t>Exhibit 104</w:t>
            </w:r>
          </w:p>
        </w:tc>
        <w:tc>
          <w:tcPr>
            <w:tcW w:w="6485"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3918" w:type="dxa"/>
        <w:jc w:val="left"/>
        <w:tblInd w:w="0" w:type="dxa"/>
        <w:tblLayout w:type="fixed"/>
        <w:tblCellMar>
          <w:top w:w="0" w:type="dxa"/>
          <w:left w:w="0" w:type="dxa"/>
          <w:bottom w:w="0" w:type="dxa"/>
          <w:right w:w="0" w:type="dxa"/>
        </w:tblCellMar>
      </w:tblPr>
      <w:tblGrid>
        <w:gridCol w:w="883"/>
        <w:gridCol w:w="79"/>
        <w:gridCol w:w="2956"/>
      </w:tblGrid>
      <w:tr>
        <w:trPr/>
        <w:tc>
          <w:tcPr>
            <w:tcW w:w="883"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956" w:type="dxa"/>
            <w:tcBorders/>
            <w:vAlign w:val="center"/>
          </w:tcPr>
          <w:p>
            <w:pPr>
              <w:pStyle w:val="TableContents"/>
              <w:bidi w:val="0"/>
              <w:spacing w:before="0" w:after="283"/>
              <w:jc w:val="left"/>
              <w:rPr/>
            </w:pPr>
            <w:r>
              <w:rPr/>
              <w:t> </w:t>
            </w:r>
          </w:p>
        </w:tc>
      </w:tr>
      <w:tr>
        <w:trPr/>
        <w:tc>
          <w:tcPr>
            <w:tcW w:w="3918" w:type="dxa"/>
            <w:gridSpan w:val="3"/>
            <w:tcBorders/>
            <w:vAlign w:val="center"/>
          </w:tcPr>
          <w:p>
            <w:pPr>
              <w:pStyle w:val="TableContents"/>
              <w:bidi w:val="0"/>
              <w:spacing w:before="0" w:after="283"/>
              <w:jc w:val="left"/>
              <w:rPr/>
            </w:pPr>
            <w:r>
              <w:rPr/>
              <w:t>STAR GROUP, L.P.</w:t>
            </w:r>
          </w:p>
        </w:tc>
      </w:tr>
      <w:tr>
        <w:trPr/>
        <w:tc>
          <w:tcPr>
            <w:tcW w:w="3918" w:type="dxa"/>
            <w:gridSpan w:val="3"/>
            <w:tcBorders/>
            <w:vAlign w:val="center"/>
          </w:tcPr>
          <w:p>
            <w:pPr>
              <w:pStyle w:val="TableContents"/>
              <w:bidi w:val="0"/>
              <w:spacing w:before="0" w:after="283"/>
              <w:jc w:val="left"/>
              <w:rPr/>
            </w:pPr>
            <w:r>
              <w:rPr/>
              <w:t> </w:t>
            </w:r>
          </w:p>
        </w:tc>
      </w:tr>
      <w:tr>
        <w:trPr/>
        <w:tc>
          <w:tcPr>
            <w:tcW w:w="3918" w:type="dxa"/>
            <w:gridSpan w:val="3"/>
            <w:tcBorders/>
            <w:vAlign w:val="center"/>
          </w:tcPr>
          <w:p>
            <w:pPr>
              <w:pStyle w:val="TableContents"/>
              <w:bidi w:val="0"/>
              <w:spacing w:before="0" w:after="283"/>
              <w:jc w:val="left"/>
              <w:rPr/>
            </w:pPr>
            <w:r>
              <w:rPr/>
              <w:t>By: Kestrel Heat, LLC (General Partner)</w:t>
            </w:r>
          </w:p>
        </w:tc>
      </w:tr>
      <w:tr>
        <w:trPr/>
        <w:tc>
          <w:tcPr>
            <w:tcW w:w="883" w:type="dxa"/>
            <w:tcBorders/>
            <w:vAlign w:val="center"/>
          </w:tcPr>
          <w:p>
            <w:pPr>
              <w:pStyle w:val="TableContents"/>
              <w:bidi w:val="0"/>
              <w:spacing w:before="0" w:after="283"/>
              <w:jc w:val="left"/>
              <w:rPr/>
            </w:pPr>
            <w:r>
              <w:rPr/>
              <w:t> </w:t>
            </w:r>
          </w:p>
        </w:tc>
        <w:tc>
          <w:tcPr>
            <w:tcW w:w="3035" w:type="dxa"/>
            <w:gridSpan w:val="2"/>
            <w:tcBorders/>
            <w:vAlign w:val="center"/>
          </w:tcPr>
          <w:p>
            <w:pPr>
              <w:pStyle w:val="TableContents"/>
              <w:bidi w:val="0"/>
              <w:spacing w:before="0" w:after="283"/>
              <w:jc w:val="left"/>
              <w:rPr/>
            </w:pPr>
            <w:r>
              <w:rPr/>
              <w:t> </w:t>
            </w:r>
          </w:p>
        </w:tc>
      </w:tr>
      <w:tr>
        <w:trPr/>
        <w:tc>
          <w:tcPr>
            <w:tcW w:w="883" w:type="dxa"/>
            <w:tcBorders/>
            <w:vAlign w:val="center"/>
          </w:tcPr>
          <w:p>
            <w:pPr>
              <w:pStyle w:val="TableContents"/>
              <w:bidi w:val="0"/>
              <w:spacing w:before="0" w:after="283"/>
              <w:jc w:val="left"/>
              <w:rPr/>
            </w:pPr>
            <w:r>
              <w:rPr/>
              <w:t>By:</w:t>
            </w:r>
          </w:p>
        </w:tc>
        <w:tc>
          <w:tcPr>
            <w:tcW w:w="79" w:type="dxa"/>
            <w:tcBorders/>
            <w:vAlign w:val="center"/>
          </w:tcPr>
          <w:p>
            <w:pPr>
              <w:pStyle w:val="TableContents"/>
              <w:bidi w:val="0"/>
              <w:spacing w:before="0" w:after="283"/>
              <w:jc w:val="left"/>
              <w:rPr/>
            </w:pPr>
            <w:r>
              <w:rPr/>
              <w:t> </w:t>
            </w:r>
          </w:p>
        </w:tc>
        <w:tc>
          <w:tcPr>
            <w:tcW w:w="2956" w:type="dxa"/>
            <w:tcBorders/>
            <w:vAlign w:val="center"/>
          </w:tcPr>
          <w:p>
            <w:pPr>
              <w:pStyle w:val="TableContents"/>
              <w:pBdr>
                <w:bottom w:val="single" w:sz="6" w:space="1" w:color="000000"/>
              </w:pBdr>
              <w:bidi w:val="0"/>
              <w:spacing w:before="0" w:after="0"/>
              <w:ind w:left="0" w:right="0" w:hanging="0"/>
              <w:jc w:val="left"/>
              <w:rPr>
                <w:sz w:val="20"/>
              </w:rPr>
            </w:pPr>
            <w:r>
              <w:rPr>
                <w:sz w:val="20"/>
              </w:rPr>
              <w:t>/s/ Richard F. Ambury</w:t>
            </w:r>
          </w:p>
        </w:tc>
      </w:tr>
      <w:tr>
        <w:trPr/>
        <w:tc>
          <w:tcPr>
            <w:tcW w:w="883" w:type="dxa"/>
            <w:tcBorders/>
            <w:vAlign w:val="center"/>
          </w:tcPr>
          <w:p>
            <w:pPr>
              <w:pStyle w:val="TableContents"/>
              <w:bidi w:val="0"/>
              <w:spacing w:before="0" w:after="283"/>
              <w:jc w:val="left"/>
              <w:rPr/>
            </w:pPr>
            <w:r>
              <w:rPr/>
              <w:t>Name:</w:t>
            </w:r>
          </w:p>
        </w:tc>
        <w:tc>
          <w:tcPr>
            <w:tcW w:w="79" w:type="dxa"/>
            <w:tcBorders/>
            <w:vAlign w:val="center"/>
          </w:tcPr>
          <w:p>
            <w:pPr>
              <w:pStyle w:val="TableContents"/>
              <w:bidi w:val="0"/>
              <w:spacing w:before="0" w:after="283"/>
              <w:jc w:val="left"/>
              <w:rPr/>
            </w:pPr>
            <w:r>
              <w:rPr/>
              <w:t> </w:t>
            </w:r>
          </w:p>
        </w:tc>
        <w:tc>
          <w:tcPr>
            <w:tcW w:w="2956" w:type="dxa"/>
            <w:tcBorders/>
            <w:vAlign w:val="center"/>
          </w:tcPr>
          <w:p>
            <w:pPr>
              <w:pStyle w:val="TableContents"/>
              <w:bidi w:val="0"/>
              <w:spacing w:before="0" w:after="283"/>
              <w:jc w:val="left"/>
              <w:rPr/>
            </w:pPr>
            <w:r>
              <w:rPr/>
              <w:t>Richard F. Ambury</w:t>
            </w:r>
          </w:p>
        </w:tc>
      </w:tr>
      <w:tr>
        <w:trPr/>
        <w:tc>
          <w:tcPr>
            <w:tcW w:w="883" w:type="dxa"/>
            <w:tcBorders/>
            <w:vAlign w:val="center"/>
          </w:tcPr>
          <w:p>
            <w:pPr>
              <w:pStyle w:val="TableContents"/>
              <w:bidi w:val="0"/>
              <w:spacing w:before="0" w:after="283"/>
              <w:jc w:val="left"/>
              <w:rPr/>
            </w:pPr>
            <w:r>
              <w:rPr/>
              <w:t>Title:</w:t>
            </w:r>
          </w:p>
        </w:tc>
        <w:tc>
          <w:tcPr>
            <w:tcW w:w="79" w:type="dxa"/>
            <w:tcBorders/>
            <w:vAlign w:val="center"/>
          </w:tcPr>
          <w:p>
            <w:pPr>
              <w:pStyle w:val="TableContents"/>
              <w:bidi w:val="0"/>
              <w:spacing w:before="0" w:after="283"/>
              <w:jc w:val="left"/>
              <w:rPr/>
            </w:pPr>
            <w:r>
              <w:rPr/>
              <w:t> </w:t>
            </w:r>
          </w:p>
        </w:tc>
        <w:tc>
          <w:tcPr>
            <w:tcW w:w="2956"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July 16,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pPr>
      <w:bookmarkStart w:id="26" w:name="exh_991.htm"/>
      <w:bookmarkStart w:id="27" w:name="ksexh_991"/>
      <w:bookmarkEnd w:id="26"/>
      <w:bookmarkEnd w:id="27"/>
      <w:r>
        <w:rPr>
          <w:rStyle w:val="StrongEmphasis"/>
        </w:rPr>
        <w:t>EXHIBIT 99.1</w:t>
      </w:r>
      <w:r>
        <w:br w:type="page"/>
      </w:r>
    </w:p>
    <w:p>
      <w:pPr>
        <w:pStyle w:val="TextBody"/>
        <w:bidi w:val="0"/>
        <w:jc w:val="center"/>
        <w:rPr/>
      </w:pPr>
      <w:r>
        <w:rPr>
          <w:rStyle w:val="StrongEmphasis"/>
          <w:sz w:val="28"/>
        </w:rPr>
        <w:t>Star Group, L.P. Declares Quarterly Distribution of 19.75 Cents per Unit</w:t>
      </w:r>
    </w:p>
    <w:p>
      <w:pPr>
        <w:pStyle w:val="TextBody"/>
        <w:bidi w:val="0"/>
        <w:jc w:val="both"/>
        <w:rPr/>
      </w:pPr>
      <w:r>
        <w:rPr/>
        <w:t>STAMFORD, Conn., July 16, 2026 (GLOBE NEWSWIRE) -- Star Group, L.P. (the "Company" or "Star") (NYSE:SGU), a home energy distributor and services provider, today declared its quarterly distribution of $0.1975 per common unit for the three months ended June 30, 2026.</w:t>
      </w:r>
    </w:p>
    <w:p>
      <w:pPr>
        <w:pStyle w:val="TextBody"/>
        <w:numPr>
          <w:ilvl w:val="0"/>
          <w:numId w:val="2"/>
        </w:numPr>
        <w:tabs>
          <w:tab w:val="clear" w:pos="1134"/>
          <w:tab w:val="left" w:pos="709" w:leader="none"/>
        </w:tabs>
        <w:bidi w:val="0"/>
        <w:spacing w:before="0" w:after="0"/>
        <w:ind w:left="709" w:hanging="283"/>
        <w:jc w:val="left"/>
        <w:rPr/>
      </w:pPr>
      <w:r>
        <w:rPr/>
        <w:t>Record date: July 27, 2026</w:t>
      </w:r>
    </w:p>
    <w:p>
      <w:pPr>
        <w:pStyle w:val="TextBody"/>
        <w:numPr>
          <w:ilvl w:val="0"/>
          <w:numId w:val="2"/>
        </w:numPr>
        <w:tabs>
          <w:tab w:val="clear" w:pos="1134"/>
          <w:tab w:val="left" w:pos="709" w:leader="none"/>
        </w:tabs>
        <w:bidi w:val="0"/>
        <w:ind w:left="709" w:hanging="283"/>
        <w:jc w:val="left"/>
        <w:rPr/>
      </w:pPr>
      <w:r>
        <w:rPr/>
        <w:t>Payment date: August 5, 2026</w:t>
      </w:r>
    </w:p>
    <w:p>
      <w:pPr>
        <w:pStyle w:val="TextBody"/>
        <w:bidi w:val="0"/>
        <w:jc w:val="both"/>
        <w:rPr/>
      </w:pPr>
      <w:r>
        <w:rPr>
          <w:rStyle w:val="StrongEmphasis"/>
        </w:rPr>
        <w:t>About Star Group, L.P.</w:t>
      </w:r>
      <w:r>
        <w:rPr/>
        <w:b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Star also sells diesel, gasoline and home heating oil on a delivery only basis. We believe Star is the nation's largest retail distributor of home heating oil based upon sales volume. Including its propane locations, Star serves customers in the more northern and eastern states within the Northeast and Mid-Atlantic U.S. regions. Additional information is available by obtaining the Company's SEC filings at www.sec.gov and by visiting Star's website at www.stargrouplp.com, where unit holders may request a hard copy of Star’s complete audited financial statements free of charge.</w:t>
      </w:r>
    </w:p>
    <w:p>
      <w:pPr>
        <w:pStyle w:val="TextBody"/>
        <w:bidi w:val="0"/>
        <w:jc w:val="both"/>
        <w:rPr/>
      </w:pPr>
      <w:r>
        <w:rPr>
          <w:rStyle w:val="StrongEmphasis"/>
        </w:rPr>
        <w:t>Forward Looking Information</w:t>
      </w:r>
      <w:r>
        <w:rPr/>
        <w:br/>
        <w:t>This news release includes "forward-looking statements" which represent the Company’s expectations or beliefs concerning future events that involve risks and uncertainties, including the impact of geopolitical events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2025. Important factors that could cause actual results to differ materially from the Company’s expectations ("Cautionary Statements") are disclosed in this news release and in the Company’s Form 10-K and our Quarterly Reports on Form 10-Q.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tbl>
      <w:tblPr>
        <w:tblW w:w="5717" w:type="dxa"/>
        <w:jc w:val="left"/>
        <w:tblInd w:w="0" w:type="dxa"/>
        <w:tblLayout w:type="fixed"/>
        <w:tblCellMar>
          <w:top w:w="28" w:type="dxa"/>
          <w:left w:w="28" w:type="dxa"/>
          <w:bottom w:w="28" w:type="dxa"/>
          <w:right w:w="28" w:type="dxa"/>
        </w:tblCellMar>
      </w:tblPr>
      <w:tblGrid>
        <w:gridCol w:w="1831"/>
        <w:gridCol w:w="3886"/>
      </w:tblGrid>
      <w:tr>
        <w:trPr/>
        <w:tc>
          <w:tcPr>
            <w:tcW w:w="1831" w:type="dxa"/>
            <w:tcBorders/>
            <w:vAlign w:val="center"/>
          </w:tcPr>
          <w:p>
            <w:pPr>
              <w:pStyle w:val="TableContents"/>
              <w:bidi w:val="0"/>
              <w:spacing w:before="0" w:after="283"/>
              <w:jc w:val="left"/>
              <w:rPr/>
            </w:pPr>
            <w:r>
              <w:rPr>
                <w:rStyle w:val="StrongEmphasis"/>
              </w:rPr>
              <w:t>CONTACT:</w:t>
            </w:r>
          </w:p>
        </w:tc>
        <w:tc>
          <w:tcPr>
            <w:tcW w:w="3886" w:type="dxa"/>
            <w:tcBorders/>
            <w:vAlign w:val="center"/>
          </w:tcPr>
          <w:p>
            <w:pPr>
              <w:pStyle w:val="TableContents"/>
              <w:bidi w:val="0"/>
              <w:spacing w:before="0" w:after="283"/>
              <w:jc w:val="left"/>
              <w:rPr/>
            </w:pPr>
            <w:r>
              <w:rPr/>
              <w:t> </w:t>
            </w:r>
          </w:p>
        </w:tc>
      </w:tr>
      <w:tr>
        <w:trPr/>
        <w:tc>
          <w:tcPr>
            <w:tcW w:w="1831" w:type="dxa"/>
            <w:tcBorders/>
            <w:vAlign w:val="center"/>
          </w:tcPr>
          <w:p>
            <w:pPr>
              <w:pStyle w:val="TableContents"/>
              <w:bidi w:val="0"/>
              <w:spacing w:before="0" w:after="283"/>
              <w:jc w:val="left"/>
              <w:rPr/>
            </w:pPr>
            <w:r>
              <w:rPr/>
              <w:t>Star Group, L. P.</w:t>
            </w:r>
          </w:p>
        </w:tc>
        <w:tc>
          <w:tcPr>
            <w:tcW w:w="3886" w:type="dxa"/>
            <w:tcBorders/>
            <w:vAlign w:val="center"/>
          </w:tcPr>
          <w:p>
            <w:pPr>
              <w:pStyle w:val="TableContents"/>
              <w:bidi w:val="0"/>
              <w:spacing w:before="0" w:after="283"/>
              <w:jc w:val="left"/>
              <w:rPr/>
            </w:pPr>
            <w:r>
              <w:rPr/>
              <w:t>Chris Witty</w:t>
            </w:r>
          </w:p>
        </w:tc>
      </w:tr>
      <w:tr>
        <w:trPr/>
        <w:tc>
          <w:tcPr>
            <w:tcW w:w="1831" w:type="dxa"/>
            <w:tcBorders/>
            <w:vAlign w:val="center"/>
          </w:tcPr>
          <w:p>
            <w:pPr>
              <w:pStyle w:val="TableContents"/>
              <w:bidi w:val="0"/>
              <w:spacing w:before="0" w:after="283"/>
              <w:jc w:val="left"/>
              <w:rPr/>
            </w:pPr>
            <w:r>
              <w:rPr/>
              <w:t>Investor Relations</w:t>
            </w:r>
          </w:p>
        </w:tc>
        <w:tc>
          <w:tcPr>
            <w:tcW w:w="3886" w:type="dxa"/>
            <w:tcBorders/>
            <w:vAlign w:val="center"/>
          </w:tcPr>
          <w:p>
            <w:pPr>
              <w:pStyle w:val="TableContents"/>
              <w:bidi w:val="0"/>
              <w:spacing w:before="0" w:after="283"/>
              <w:jc w:val="left"/>
              <w:rPr/>
            </w:pPr>
            <w:r>
              <w:rPr/>
              <w:t>Darrow Associates</w:t>
            </w:r>
          </w:p>
        </w:tc>
      </w:tr>
      <w:tr>
        <w:trPr/>
        <w:tc>
          <w:tcPr>
            <w:tcW w:w="1831" w:type="dxa"/>
            <w:tcBorders/>
            <w:vAlign w:val="center"/>
          </w:tcPr>
          <w:p>
            <w:pPr>
              <w:pStyle w:val="TableContents"/>
              <w:bidi w:val="0"/>
              <w:spacing w:before="0" w:after="283"/>
              <w:jc w:val="left"/>
              <w:rPr/>
            </w:pPr>
            <w:r>
              <w:rPr/>
              <w:t>203/328-7310</w:t>
            </w:r>
          </w:p>
        </w:tc>
        <w:tc>
          <w:tcPr>
            <w:tcW w:w="3886" w:type="dxa"/>
            <w:tcBorders/>
            <w:vAlign w:val="center"/>
          </w:tcPr>
          <w:p>
            <w:pPr>
              <w:pStyle w:val="TableContents"/>
              <w:bidi w:val="0"/>
              <w:spacing w:before="0" w:after="283"/>
              <w:jc w:val="left"/>
              <w:rPr/>
            </w:pPr>
            <w:r>
              <w:rPr/>
              <w:t>646/438-9385 or cwitty@darrowir.com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1172</Words>
  <Characters>6651</Characters>
  <CharactersWithSpaces>7823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