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8k_101526.htm"/>
      <w:bookmarkStart w:id="1" w:name="ksf8k_101526"/>
      <w:bookmarkStart w:id="2" w:name="f8k_101526.htm"/>
      <w:bookmarkStart w:id="3" w:name="ksf8k_101526"/>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sz w:val="20"/>
        </w:rPr>
      </w:pPr>
      <w:r>
        <w:rPr>
          <w:sz w:val="20"/>
        </w:rPr>
        <w:t>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w:t>
      </w:r>
      <w:bookmarkStart w:id="4" w:name="xdx_900_edei--DocumentType_c20261015__20"/>
      <w:bookmarkEnd w:id="4"/>
      <w:r>
        <w:rPr>
          <w:b/>
          <w:sz w:val="20"/>
        </w:rPr>
        <w:t>8-K</w:t>
      </w:r>
    </w:p>
    <w:p>
      <w:pPr>
        <w:pStyle w:val="TextBody"/>
        <w:bidi w:val="0"/>
        <w:spacing w:before="0" w:after="0"/>
        <w:ind w:left="0" w:right="0" w:hanging="0"/>
        <w:jc w:val="center"/>
        <w:rPr>
          <w:sz w:val="20"/>
        </w:rPr>
      </w:pPr>
      <w:r>
        <w:rPr>
          <w:sz w:val="20"/>
        </w:rPr>
        <w:t>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Pursuant to Section 13 or 15(d)</w:t>
        <w:br/>
        <w:t>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Date of report (Date of earliest event reported) </w:t>
      </w:r>
      <w:bookmarkStart w:id="5" w:name="xdx_901_edei--DocumentPeriodEndDate_c202"/>
      <w:bookmarkEnd w:id="5"/>
      <w:r>
        <w:rPr>
          <w:b/>
          <w:sz w:val="20"/>
        </w:rPr>
        <w:t>October 15, 2026</w:t>
      </w:r>
    </w:p>
    <w:p>
      <w:pPr>
        <w:pStyle w:val="TextBody"/>
        <w:bidi w:val="0"/>
        <w:spacing w:before="0" w:after="0"/>
        <w:ind w:left="0" w:right="0" w:hanging="0"/>
        <w:jc w:val="center"/>
        <w:rPr>
          <w:sz w:val="20"/>
        </w:rPr>
      </w:pPr>
      <w:r>
        <w:rPr>
          <w:sz w:val="20"/>
        </w:rPr>
        <w:t>_______________________________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bookmarkStart w:id="6" w:name="xdx_90E_edei--EntityRegistrantName_c2026"/>
      <w:bookmarkEnd w:id="6"/>
      <w:r>
        <w:rPr>
          <w:b/>
          <w:caps/>
          <w:sz w:val="20"/>
        </w:rPr>
        <w:t>STAR GROUP, L.P.</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sz w:val="20"/>
        </w:rPr>
      </w:pPr>
      <w:r>
        <w:rPr>
          <w:sz w:val="20"/>
        </w:rPr>
        <w:t>_______________________________</w:t>
      </w:r>
    </w:p>
    <w:p>
      <w:pPr>
        <w:pStyle w:val="TextBody"/>
        <w:bidi w:val="0"/>
        <w:spacing w:before="0" w:after="0"/>
        <w:ind w:left="0" w:right="0" w:hanging="0"/>
        <w:jc w:val="center"/>
        <w:rPr/>
      </w:pPr>
      <w:r>
        <w:rPr/>
        <w:t> </w:t>
      </w:r>
    </w:p>
    <w:tbl>
      <w:tblPr>
        <w:tblW w:w="8760" w:type="dxa"/>
        <w:jc w:val="left"/>
        <w:tblInd w:w="0" w:type="dxa"/>
        <w:tblLayout w:type="fixed"/>
        <w:tblCellMar>
          <w:top w:w="0" w:type="dxa"/>
          <w:left w:w="0" w:type="dxa"/>
          <w:bottom w:w="0" w:type="dxa"/>
          <w:right w:w="0" w:type="dxa"/>
        </w:tblCellMar>
      </w:tblPr>
      <w:tblGrid>
        <w:gridCol w:w="3635"/>
        <w:gridCol w:w="2210"/>
        <w:gridCol w:w="2915"/>
      </w:tblGrid>
      <w:tr>
        <w:trPr/>
        <w:tc>
          <w:tcPr>
            <w:tcW w:w="3635" w:type="dxa"/>
            <w:tcBorders/>
            <w:vAlign w:val="center"/>
          </w:tcPr>
          <w:p>
            <w:pPr>
              <w:pStyle w:val="TableContents"/>
              <w:bidi w:val="0"/>
              <w:spacing w:before="0" w:after="283"/>
              <w:jc w:val="center"/>
              <w:rPr>
                <w:b/>
                <w:sz w:val="20"/>
              </w:rPr>
            </w:pPr>
            <w:bookmarkStart w:id="7" w:name="xdx_90B_edei--EntityIncorporationStateCo"/>
            <w:bookmarkEnd w:id="7"/>
            <w:r>
              <w:rPr>
                <w:b/>
                <w:sz w:val="20"/>
              </w:rPr>
              <w:t>Delaware</w:t>
            </w:r>
          </w:p>
        </w:tc>
        <w:tc>
          <w:tcPr>
            <w:tcW w:w="2210" w:type="dxa"/>
            <w:tcBorders/>
            <w:vAlign w:val="center"/>
          </w:tcPr>
          <w:p>
            <w:pPr>
              <w:pStyle w:val="TableContents"/>
              <w:bidi w:val="0"/>
              <w:spacing w:before="0" w:after="283"/>
              <w:jc w:val="center"/>
              <w:rPr>
                <w:b/>
                <w:sz w:val="20"/>
              </w:rPr>
            </w:pPr>
            <w:bookmarkStart w:id="8" w:name="xdx_901_edei--EntityFileNumber_c20261015"/>
            <w:bookmarkEnd w:id="8"/>
            <w:r>
              <w:rPr>
                <w:b/>
                <w:sz w:val="20"/>
              </w:rPr>
              <w:t>001-14129</w:t>
            </w:r>
          </w:p>
        </w:tc>
        <w:tc>
          <w:tcPr>
            <w:tcW w:w="2915" w:type="dxa"/>
            <w:tcBorders/>
            <w:vAlign w:val="center"/>
          </w:tcPr>
          <w:p>
            <w:pPr>
              <w:pStyle w:val="TableContents"/>
              <w:bidi w:val="0"/>
              <w:spacing w:before="0" w:after="283"/>
              <w:jc w:val="center"/>
              <w:rPr>
                <w:b/>
                <w:sz w:val="20"/>
              </w:rPr>
            </w:pPr>
            <w:bookmarkStart w:id="9" w:name="xdx_903_edei--EntityTaxIdentificationNum"/>
            <w:bookmarkEnd w:id="9"/>
            <w:r>
              <w:rPr>
                <w:b/>
                <w:sz w:val="20"/>
              </w:rPr>
              <w:t>06-1437793</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0" w:name="xdx_90C_edei--EntityAddressAddressLine1_"/>
      <w:bookmarkEnd w:id="10"/>
      <w:r>
        <w:rPr>
          <w:b/>
          <w:sz w:val="20"/>
        </w:rPr>
        <w:t xml:space="preserve">9 West Broad Street, </w:t>
      </w:r>
      <w:bookmarkStart w:id="11" w:name="xdx_905_edei--EntityAddressAddressLine2_"/>
      <w:bookmarkEnd w:id="11"/>
      <w:r>
        <w:rPr>
          <w:b/>
          <w:sz w:val="20"/>
        </w:rPr>
        <w:t>Suite 310</w:t>
      </w:r>
    </w:p>
    <w:p>
      <w:pPr>
        <w:pStyle w:val="TextBody"/>
        <w:bidi w:val="0"/>
        <w:spacing w:before="0" w:after="0"/>
        <w:ind w:left="0" w:right="0" w:hanging="0"/>
        <w:jc w:val="center"/>
        <w:rPr>
          <w:b/>
          <w:sz w:val="20"/>
        </w:rPr>
      </w:pPr>
      <w:bookmarkStart w:id="12" w:name="xdx_903_edei--EntityAddressCityOrTown_c2"/>
      <w:bookmarkEnd w:id="12"/>
      <w:r>
        <w:rPr>
          <w:b/>
          <w:sz w:val="20"/>
        </w:rPr>
        <w:t xml:space="preserve">Stamford, </w:t>
      </w:r>
      <w:bookmarkStart w:id="13" w:name="xdx_90E_edei--EntityAddressStateOrProvin"/>
      <w:bookmarkEnd w:id="13"/>
      <w:r>
        <w:rPr>
          <w:b/>
          <w:sz w:val="20"/>
        </w:rPr>
        <w:t xml:space="preserve">CT </w:t>
      </w:r>
      <w:bookmarkStart w:id="14" w:name="xdx_905_edei--EntityAddressPostalZipCode"/>
      <w:bookmarkEnd w:id="14"/>
      <w:r>
        <w:rPr>
          <w:b/>
          <w:sz w:val="20"/>
        </w:rPr>
        <w:t>06902</w:t>
      </w:r>
    </w:p>
    <w:p>
      <w:pPr>
        <w:pStyle w:val="TextBody"/>
        <w:bidi w:val="0"/>
        <w:spacing w:before="0" w:after="0"/>
        <w:ind w:left="0" w:right="0" w:hanging="0"/>
        <w:jc w:val="center"/>
        <w:rPr>
          <w:sz w:val="20"/>
        </w:rPr>
      </w:pPr>
      <w:r>
        <w:rPr>
          <w:sz w:val="20"/>
        </w:rPr>
        <w:t>(Address of Principal Executive Offices) (Zip Code)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5" w:name="xdx_908_edei--CityAreaCode_c20261015__20"/>
      <w:bookmarkEnd w:id="15"/>
      <w:r>
        <w:rPr>
          <w:b/>
          <w:sz w:val="20"/>
        </w:rPr>
        <w:t xml:space="preserve">(203) </w:t>
      </w:r>
      <w:bookmarkStart w:id="16" w:name="xdx_90B_edei--LocalPhoneNumber_c20261015"/>
      <w:bookmarkEnd w:id="16"/>
      <w:r>
        <w:rPr>
          <w:b/>
          <w:sz w:val="20"/>
        </w:rPr>
        <w:t>328-7310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Not Applicable</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sz w:val="20"/>
        </w:rPr>
      </w:pPr>
      <w:r>
        <w:rPr>
          <w:sz w:val="20"/>
        </w:rPr>
        <w:t>_______________________________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center"/>
              <w:rPr/>
            </w:pPr>
            <w:bookmarkStart w:id="17" w:name="xdx_90F_edei--WrittenCommunications_c202"/>
            <w:bookmarkEnd w:id="17"/>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bookmarkStart w:id="18" w:name="xdx_909_edei--SolicitingMaterial_c202610"/>
            <w:bookmarkEnd w:id="18"/>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bookmarkStart w:id="19" w:name="xdx_904_edei--PreCommencementTenderOffer"/>
            <w:bookmarkEnd w:id="19"/>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bookmarkStart w:id="20" w:name="xdx_90E_edei--PreCommencementIssuerTende"/>
            <w:bookmarkEnd w:id="20"/>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7665" w:type="dxa"/>
        <w:jc w:val="left"/>
        <w:tblInd w:w="0" w:type="dxa"/>
        <w:tblLayout w:type="fixed"/>
        <w:tblCellMar>
          <w:top w:w="0" w:type="dxa"/>
          <w:left w:w="0" w:type="dxa"/>
          <w:bottom w:w="28" w:type="dxa"/>
          <w:right w:w="0" w:type="dxa"/>
        </w:tblCellMar>
      </w:tblPr>
      <w:tblGrid>
        <w:gridCol w:w="2540"/>
        <w:gridCol w:w="1535"/>
        <w:gridCol w:w="3590"/>
      </w:tblGrid>
      <w:tr>
        <w:trPr/>
        <w:tc>
          <w:tcPr>
            <w:tcW w:w="254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540" w:type="dxa"/>
            <w:tcBorders/>
            <w:tcMar>
              <w:bottom w:w="0" w:type="dxa"/>
            </w:tcMar>
            <w:vAlign w:val="center"/>
          </w:tcPr>
          <w:p>
            <w:pPr>
              <w:pStyle w:val="TableContents"/>
              <w:bidi w:val="0"/>
              <w:spacing w:before="0" w:after="283"/>
              <w:jc w:val="center"/>
              <w:rPr>
                <w:sz w:val="20"/>
              </w:rPr>
            </w:pPr>
            <w:bookmarkStart w:id="21" w:name="xdx_90C_edei--Security12bTitle_c20261015"/>
            <w:bookmarkEnd w:id="21"/>
            <w:r>
              <w:rPr>
                <w:sz w:val="20"/>
              </w:rPr>
              <w:t>Common Units</w:t>
            </w:r>
          </w:p>
        </w:tc>
        <w:tc>
          <w:tcPr>
            <w:tcW w:w="1535" w:type="dxa"/>
            <w:tcBorders/>
            <w:tcMar>
              <w:bottom w:w="0" w:type="dxa"/>
            </w:tcMar>
            <w:vAlign w:val="center"/>
          </w:tcPr>
          <w:p>
            <w:pPr>
              <w:pStyle w:val="TableContents"/>
              <w:bidi w:val="0"/>
              <w:spacing w:before="0" w:after="283"/>
              <w:jc w:val="center"/>
              <w:rPr>
                <w:sz w:val="20"/>
              </w:rPr>
            </w:pPr>
            <w:bookmarkStart w:id="22" w:name="xdx_909_edei--TradingSymbol_c20261015__2"/>
            <w:bookmarkEnd w:id="22"/>
            <w:r>
              <w:rPr>
                <w:sz w:val="20"/>
              </w:rPr>
              <w:t>SGU</w:t>
            </w:r>
          </w:p>
        </w:tc>
        <w:tc>
          <w:tcPr>
            <w:tcW w:w="3590" w:type="dxa"/>
            <w:tcBorders/>
            <w:tcMar>
              <w:bottom w:w="0" w:type="dxa"/>
            </w:tcMar>
            <w:vAlign w:val="center"/>
          </w:tcPr>
          <w:p>
            <w:pPr>
              <w:pStyle w:val="TableContents"/>
              <w:bidi w:val="0"/>
              <w:spacing w:before="0" w:after="283"/>
              <w:jc w:val="center"/>
              <w:rPr>
                <w:sz w:val="20"/>
              </w:rPr>
            </w:pPr>
            <w:bookmarkStart w:id="23" w:name="xdx_90C_edei--SecurityExchangeName_c2026"/>
            <w:bookmarkEnd w:id="23"/>
            <w:r>
              <w:rPr>
                <w:sz w:val="20"/>
              </w:rPr>
              <w:t>New York Stock Exchange</w:t>
            </w:r>
          </w:p>
        </w:tc>
      </w:tr>
      <w:tr>
        <w:trPr/>
        <w:tc>
          <w:tcPr>
            <w:tcW w:w="2540" w:type="dxa"/>
            <w:tcBorders/>
            <w:tcMar>
              <w:bottom w:w="0" w:type="dxa"/>
            </w:tcMar>
            <w:vAlign w:val="center"/>
          </w:tcPr>
          <w:p>
            <w:pPr>
              <w:pStyle w:val="TableContents"/>
              <w:bidi w:val="0"/>
              <w:spacing w:before="0" w:after="283"/>
              <w:jc w:val="center"/>
              <w:rPr>
                <w:sz w:val="20"/>
              </w:rPr>
            </w:pPr>
            <w:bookmarkStart w:id="24" w:name="xdx_906_edei--Security12bTitle_c20261015"/>
            <w:bookmarkEnd w:id="24"/>
            <w:r>
              <w:rPr>
                <w:sz w:val="20"/>
              </w:rPr>
              <w:t>Common Unit Purchase Rights</w:t>
            </w:r>
          </w:p>
        </w:tc>
        <w:tc>
          <w:tcPr>
            <w:tcW w:w="1535" w:type="dxa"/>
            <w:tcBorders/>
            <w:tcMar>
              <w:bottom w:w="0" w:type="dxa"/>
            </w:tcMar>
            <w:vAlign w:val="center"/>
          </w:tcPr>
          <w:p>
            <w:pPr>
              <w:pStyle w:val="TableContents"/>
              <w:bidi w:val="0"/>
              <w:spacing w:before="0" w:after="283"/>
              <w:jc w:val="center"/>
              <w:rPr>
                <w:sz w:val="20"/>
              </w:rPr>
            </w:pPr>
            <w:bookmarkStart w:id="25" w:name="xdx_90E_edei--TradingSymbol_c20261015__2"/>
            <w:bookmarkEnd w:id="25"/>
            <w:r>
              <w:rPr>
                <w:sz w:val="20"/>
              </w:rPr>
              <w:t>N/A</w:t>
            </w:r>
          </w:p>
        </w:tc>
        <w:tc>
          <w:tcPr>
            <w:tcW w:w="3590" w:type="dxa"/>
            <w:tcBorders/>
            <w:tcMar>
              <w:bottom w:w="0" w:type="dxa"/>
            </w:tcMar>
            <w:vAlign w:val="center"/>
          </w:tcPr>
          <w:p>
            <w:pPr>
              <w:pStyle w:val="TableContents"/>
              <w:bidi w:val="0"/>
              <w:spacing w:before="0" w:after="283"/>
              <w:jc w:val="center"/>
              <w:rPr>
                <w:sz w:val="20"/>
              </w:rPr>
            </w:pPr>
            <w:bookmarkStart w:id="26" w:name="xdx_90D_edei--SecurityExchangeName_c2026"/>
            <w:bookmarkEnd w:id="26"/>
            <w:r>
              <w:rPr>
                <w:sz w:val="20"/>
              </w:rPr>
              <w:t>New York Stock Exchange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Emerging growth company </w:t>
      </w:r>
      <w:bookmarkStart w:id="27" w:name="xdx_901_edei--EntityEmergingGrowthCompan"/>
      <w:bookmarkEnd w:id="27"/>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b/>
          <w:sz w:val="20"/>
        </w:rPr>
        <w:t>Item 8.01.</w:t>
      </w:r>
      <w:r>
        <w:rPr>
          <w:sz w:val="20"/>
        </w:rPr>
        <w:t xml:space="preserve"> </w:t>
      </w:r>
      <w:r>
        <w:rPr>
          <w:b/>
          <w:sz w:val="20"/>
        </w:rPr>
        <w:t>Other Events.</w:t>
      </w:r>
    </w:p>
    <w:p>
      <w:pPr>
        <w:pStyle w:val="TextBody"/>
        <w:bidi w:val="0"/>
        <w:spacing w:before="0" w:after="0"/>
        <w:ind w:left="0" w:right="0" w:firstLine="490"/>
        <w:jc w:val="left"/>
        <w:rPr/>
      </w:pPr>
      <w:r>
        <w:rPr/>
        <w:t> </w:t>
      </w:r>
    </w:p>
    <w:p>
      <w:pPr>
        <w:pStyle w:val="TextBody"/>
        <w:bidi w:val="0"/>
        <w:spacing w:before="0" w:after="0"/>
        <w:ind w:left="0" w:right="0" w:firstLine="490"/>
        <w:jc w:val="left"/>
        <w:rPr>
          <w:sz w:val="20"/>
        </w:rPr>
      </w:pPr>
      <w:r>
        <w:rPr>
          <w:sz w:val="20"/>
        </w:rPr>
        <w:t>On October 15, 2026, Star Group, L.P., a Delaware partnership, issued a press release declaring its quarterly distribution on all units for the fiscal fourth quarter ended September 30, 2026. A copy of the press release is furnished within this report as Exhibit 99.1.</w:t>
      </w:r>
    </w:p>
    <w:p>
      <w:pPr>
        <w:pStyle w:val="TextBody"/>
        <w:bidi w:val="0"/>
        <w:spacing w:before="0" w:after="0"/>
        <w:ind w:left="0" w:right="0" w:hanging="0"/>
        <w:jc w:val="left"/>
        <w:rPr/>
      </w:pPr>
      <w:r>
        <w:rPr/>
        <w:t> </w:t>
      </w:r>
    </w:p>
    <w:p>
      <w:pPr>
        <w:pStyle w:val="TextBody"/>
        <w:bidi w:val="0"/>
        <w:spacing w:before="0" w:after="0"/>
        <w:ind w:left="0" w:right="0" w:firstLine="490"/>
        <w:jc w:val="both"/>
        <w:rPr>
          <w:sz w:val="20"/>
        </w:rPr>
      </w:pPr>
      <w:r>
        <w:rPr>
          <w:sz w:val="20"/>
        </w:rPr>
        <w:t>The information in this report is being furnished and is not deemed as "filed" for purposes of Section 18 of the Securities Exchange Act of 1934, as amended, and shall not be deemed incorporated by reference in any filings under the Securities Act of 1933, as amended, unless specifically stated so therein.</w:t>
      </w:r>
    </w:p>
    <w:p>
      <w:pPr>
        <w:pStyle w:val="TextBody"/>
        <w:bidi w:val="0"/>
        <w:spacing w:before="0" w:after="0"/>
        <w:ind w:left="0" w:right="0" w:firstLine="49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1055"/>
        <w:gridCol w:w="60"/>
        <w:gridCol w:w="6485"/>
      </w:tblGrid>
      <w:tr>
        <w:trPr/>
        <w:tc>
          <w:tcPr>
            <w:tcW w:w="1055" w:type="dxa"/>
            <w:tcBorders/>
            <w:vAlign w:val="center"/>
          </w:tcPr>
          <w:p>
            <w:pPr>
              <w:pStyle w:val="TableContents"/>
              <w:bidi w:val="0"/>
              <w:spacing w:before="0" w:after="283"/>
              <w:jc w:val="left"/>
              <w:rPr/>
            </w:pPr>
            <w:hyperlink w:anchor="exh_991.htm">
              <w:r>
                <w:rPr>
                  <w:rStyle w:val="InternetLink"/>
                  <w:sz w:val="20"/>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sz w:val="20"/>
                </w:rPr>
                <w:t>A copy of the Star Group L.P. Press Release dated October 15, 2026</w:t>
              </w:r>
            </w:hyperlink>
          </w:p>
        </w:tc>
      </w:tr>
      <w:tr>
        <w:trPr/>
        <w:tc>
          <w:tcPr>
            <w:tcW w:w="1055" w:type="dxa"/>
            <w:tcBorders/>
            <w:vAlign w:val="center"/>
          </w:tcPr>
          <w:p>
            <w:pPr>
              <w:pStyle w:val="TableContents"/>
              <w:bidi w:val="0"/>
              <w:spacing w:before="0" w:after="283"/>
              <w:jc w:val="left"/>
              <w:rPr>
                <w:sz w:val="20"/>
              </w:rPr>
            </w:pPr>
            <w:r>
              <w:rPr>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169" w:type="dxa"/>
        <w:jc w:val="left"/>
        <w:tblInd w:w="0" w:type="dxa"/>
        <w:tblLayout w:type="fixed"/>
        <w:tblCellMar>
          <w:top w:w="0" w:type="dxa"/>
          <w:left w:w="0" w:type="dxa"/>
          <w:bottom w:w="0" w:type="dxa"/>
          <w:right w:w="0" w:type="dxa"/>
        </w:tblCellMar>
      </w:tblPr>
      <w:tblGrid>
        <w:gridCol w:w="1925"/>
        <w:gridCol w:w="465"/>
        <w:gridCol w:w="2779"/>
      </w:tblGrid>
      <w:tr>
        <w:trPr/>
        <w:tc>
          <w:tcPr>
            <w:tcW w:w="192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b/>
                <w:sz w:val="20"/>
              </w:rPr>
            </w:pPr>
            <w:r>
              <w:rPr>
                <w:b/>
                <w:sz w:val="20"/>
              </w:rPr>
              <w:t>STAR GROUP, L.P.</w:t>
            </w:r>
          </w:p>
        </w:tc>
      </w:tr>
      <w:tr>
        <w:trPr/>
        <w:tc>
          <w:tcPr>
            <w:tcW w:w="192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sz w:val="20"/>
              </w:rPr>
            </w:pPr>
            <w:r>
              <w:rPr>
                <w:sz w:val="20"/>
              </w:rPr>
              <w:t>By: Kestrel Heat, LLC (General Partner)</w:t>
            </w:r>
          </w:p>
        </w:tc>
      </w:tr>
      <w:tr>
        <w:trPr/>
        <w:tc>
          <w:tcPr>
            <w:tcW w:w="192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Date: October 15, 2026</w:t>
            </w:r>
          </w:p>
        </w:tc>
        <w:tc>
          <w:tcPr>
            <w:tcW w:w="465" w:type="dxa"/>
            <w:tcBorders/>
            <w:vAlign w:val="center"/>
          </w:tcPr>
          <w:p>
            <w:pPr>
              <w:pStyle w:val="TableContents"/>
              <w:bidi w:val="0"/>
              <w:spacing w:before="0" w:after="283"/>
              <w:jc w:val="left"/>
              <w:rPr>
                <w:sz w:val="20"/>
              </w:rPr>
            </w:pPr>
            <w:r>
              <w:rPr>
                <w:sz w:val="20"/>
              </w:rPr>
              <w:t>By: </w:t>
            </w:r>
          </w:p>
        </w:tc>
        <w:tc>
          <w:tcPr>
            <w:tcW w:w="2779" w:type="dxa"/>
            <w:tcBorders/>
            <w:vAlign w:val="center"/>
          </w:tcPr>
          <w:p>
            <w:pPr>
              <w:pStyle w:val="TableContents"/>
              <w:bidi w:val="0"/>
              <w:spacing w:before="0" w:after="283"/>
              <w:jc w:val="left"/>
              <w:rPr>
                <w:sz w:val="20"/>
                <w:u w:val="single"/>
              </w:rPr>
            </w:pPr>
            <w:r>
              <w:rPr>
                <w:sz w:val="20"/>
                <w:u w:val="single"/>
              </w:rPr>
              <w:t>/s/ Richard F. Ambury        </w:t>
            </w:r>
          </w:p>
        </w:tc>
      </w:tr>
      <w:tr>
        <w:trPr/>
        <w:tc>
          <w:tcPr>
            <w:tcW w:w="192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sz w:val="20"/>
              </w:rPr>
            </w:pPr>
            <w:r>
              <w:rPr>
                <w:sz w:val="20"/>
              </w:rPr>
              <w:t>Richard F. Ambury</w:t>
            </w:r>
          </w:p>
        </w:tc>
      </w:tr>
      <w:tr>
        <w:trPr/>
        <w:tc>
          <w:tcPr>
            <w:tcW w:w="192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sz w:val="20"/>
              </w:rPr>
            </w:pPr>
            <w:r>
              <w:rPr>
                <w:sz w:val="20"/>
              </w:rPr>
              <w:t>Chief Financial Officer</w:t>
            </w:r>
          </w:p>
        </w:tc>
      </w:tr>
      <w:tr>
        <w:trPr/>
        <w:tc>
          <w:tcPr>
            <w:tcW w:w="1925"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b/>
          <w:sz w:val="20"/>
        </w:rPr>
      </w:pPr>
      <w:bookmarkStart w:id="28" w:name="exh_991.htm"/>
      <w:bookmarkStart w:id="29" w:name="ksexh_991"/>
      <w:bookmarkEnd w:id="28"/>
      <w:bookmarkEnd w:id="29"/>
      <w:r>
        <w:rPr>
          <w:b/>
          <w:sz w:val="20"/>
        </w:rPr>
        <w:t>EXHIBIT 99.1</w:t>
      </w:r>
      <w:r>
        <w:br w:type="page"/>
      </w:r>
    </w:p>
    <w:p>
      <w:pPr>
        <w:pStyle w:val="TextBody"/>
        <w:bidi w:val="0"/>
        <w:jc w:val="center"/>
        <w:rPr>
          <w:b/>
          <w:sz w:val="20"/>
        </w:rPr>
      </w:pPr>
      <w:r>
        <w:rPr>
          <w:b/>
          <w:sz w:val="20"/>
        </w:rPr>
        <w:t>Star Group, L.P. Declares Quarterly Distribution of 19.75 Cents per Unit</w:t>
      </w:r>
    </w:p>
    <w:p>
      <w:pPr>
        <w:pStyle w:val="TextBody"/>
        <w:bidi w:val="0"/>
        <w:jc w:val="both"/>
        <w:rPr>
          <w:sz w:val="20"/>
        </w:rPr>
      </w:pPr>
      <w:r>
        <w:rPr>
          <w:sz w:val="20"/>
        </w:rPr>
        <w:t>STAMFORD, Conn., Oct. 15, 2026 (GLOBE NEWSWIRE) -- Star Group, L.P. (the "Company" or "Star") (NYSE:SGU), a home energy distributor and services provider, today declared its quarterly distribution of $0.1975 per common unit for the three months ended September 30, 2026.</w:t>
      </w:r>
    </w:p>
    <w:p>
      <w:pPr>
        <w:pStyle w:val="TextBody"/>
        <w:numPr>
          <w:ilvl w:val="0"/>
          <w:numId w:val="2"/>
        </w:numPr>
        <w:tabs>
          <w:tab w:val="clear" w:pos="1134"/>
          <w:tab w:val="left" w:pos="709" w:leader="none"/>
        </w:tabs>
        <w:bidi w:val="0"/>
        <w:spacing w:before="0" w:after="0"/>
        <w:ind w:left="709" w:hanging="283"/>
        <w:jc w:val="left"/>
        <w:rPr>
          <w:sz w:val="20"/>
        </w:rPr>
      </w:pPr>
      <w:r>
        <w:rPr>
          <w:sz w:val="20"/>
        </w:rPr>
        <w:t>Record date: October 26, 2026</w:t>
      </w:r>
    </w:p>
    <w:p>
      <w:pPr>
        <w:pStyle w:val="TextBody"/>
        <w:numPr>
          <w:ilvl w:val="0"/>
          <w:numId w:val="2"/>
        </w:numPr>
        <w:tabs>
          <w:tab w:val="clear" w:pos="1134"/>
          <w:tab w:val="left" w:pos="709" w:leader="none"/>
        </w:tabs>
        <w:bidi w:val="0"/>
        <w:ind w:left="709" w:hanging="283"/>
        <w:jc w:val="left"/>
        <w:rPr>
          <w:sz w:val="20"/>
        </w:rPr>
      </w:pPr>
      <w:r>
        <w:rPr>
          <w:sz w:val="20"/>
        </w:rPr>
        <w:t>Payment date: November 4, 2026</w:t>
      </w:r>
    </w:p>
    <w:p>
      <w:pPr>
        <w:pStyle w:val="TextBody"/>
        <w:bidi w:val="0"/>
        <w:jc w:val="both"/>
        <w:rPr>
          <w:sz w:val="20"/>
        </w:rPr>
      </w:pPr>
      <w:r>
        <w:rPr>
          <w:b/>
          <w:sz w:val="20"/>
        </w:rPr>
        <w:t>About Star Group, L.P.</w:t>
      </w:r>
      <w:r>
        <w:rPr>
          <w:sz w:val="20"/>
        </w:rPr>
        <w:br/>
        <w:t>Star Group, L.P. is a full service provider specializing in the sale of home heating products and services to residential and commercial customers to heat their homes and buildings. The Company also sells and services heating and air conditioning equipment to its home heating oil and propane customers and, to a lesser extent, provides these offerings to customers outside of its home heating oil and propane customer base. Star also sells diesel, gasoline and home heating oil on a delivery only basis. We believe Star is the nation's largest retail distributor of home heating oil based upon sales volume. Including its propane locations, Star serves customers in the more northern and eastern states within the Northeast and Mid-Atlantic U.S. regions. Additional information is available by obtaining the Company's SEC filings at www.sec.gov and by visiting Star's website at www.stargrouplp.com, where unit holders may request a hard copy of Star’s complete audited financial statements free of charge.</w:t>
      </w:r>
    </w:p>
    <w:p>
      <w:pPr>
        <w:pStyle w:val="TextBody"/>
        <w:bidi w:val="0"/>
        <w:jc w:val="both"/>
        <w:rPr>
          <w:sz w:val="20"/>
        </w:rPr>
      </w:pPr>
      <w:r>
        <w:rPr>
          <w:b/>
          <w:sz w:val="20"/>
        </w:rPr>
        <w:t>Forward Looking Information</w:t>
      </w:r>
      <w:r>
        <w:rPr>
          <w:sz w:val="20"/>
        </w:rPr>
        <w:br/>
        <w:t>This news release includes "forward-looking statements" which represent the Company’s expectations or beliefs concerning future events that involve risks and uncertainties, including the impact of geopolitical events on wholesale product cost volatility,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future global health pandemics, recessionary economic conditions, future union relations and the outcome of current and future union negotiations, the impact of current and future governmental regulations, including federal, state and municipal laws restricting greenhouse gases ("GHG") emissions and federal, state and local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under the heading "Risk Factors" and "Business Strategy" in our Annual Report on Form 10-K (the "Form 10-K") for the fiscal year ended September 30, 2025. Important factors that could cause actual results to differ materially from the Company’s expectations ("Cautionary Statements") are disclosed in this news release and in the Company’s Form 10-K and our Quarterly Reports on Form 10-Q. All subsequent written and oral forward-looking statements attributable to the Company or persons acting on its behalf are expressly qualified in their entirety by the Cautionary Statements. Unless otherwise required by law, the Company undertakes no obligation to update or revise any forward-looking statements, whether as a result of new information, future events or otherwise after the date of this news release.</w:t>
      </w:r>
    </w:p>
    <w:tbl>
      <w:tblPr>
        <w:tblW w:w="5027" w:type="dxa"/>
        <w:jc w:val="left"/>
        <w:tblInd w:w="0" w:type="dxa"/>
        <w:tblLayout w:type="fixed"/>
        <w:tblCellMar>
          <w:top w:w="28" w:type="dxa"/>
          <w:left w:w="28" w:type="dxa"/>
          <w:bottom w:w="28" w:type="dxa"/>
          <w:right w:w="28" w:type="dxa"/>
        </w:tblCellMar>
      </w:tblPr>
      <w:tblGrid>
        <w:gridCol w:w="1606"/>
        <w:gridCol w:w="3421"/>
      </w:tblGrid>
      <w:tr>
        <w:trPr/>
        <w:tc>
          <w:tcPr>
            <w:tcW w:w="5027" w:type="dxa"/>
            <w:gridSpan w:val="2"/>
            <w:tcBorders/>
            <w:vAlign w:val="center"/>
          </w:tcPr>
          <w:p>
            <w:pPr>
              <w:pStyle w:val="TableContents"/>
              <w:bidi w:val="0"/>
              <w:spacing w:before="0" w:after="283"/>
              <w:jc w:val="left"/>
              <w:rPr>
                <w:b/>
                <w:sz w:val="20"/>
              </w:rPr>
            </w:pPr>
            <w:r>
              <w:rPr>
                <w:b/>
                <w:sz w:val="20"/>
              </w:rPr>
              <w:t>CONTACT:</w:t>
            </w:r>
          </w:p>
        </w:tc>
      </w:tr>
      <w:tr>
        <w:trPr/>
        <w:tc>
          <w:tcPr>
            <w:tcW w:w="1606" w:type="dxa"/>
            <w:tcBorders/>
            <w:vAlign w:val="center"/>
          </w:tcPr>
          <w:p>
            <w:pPr>
              <w:pStyle w:val="TableContents"/>
              <w:bidi w:val="0"/>
              <w:spacing w:before="0" w:after="283"/>
              <w:jc w:val="left"/>
              <w:rPr>
                <w:sz w:val="20"/>
              </w:rPr>
            </w:pPr>
            <w:r>
              <w:rPr>
                <w:sz w:val="20"/>
              </w:rPr>
              <w:t>Star Group, L. P.</w:t>
            </w:r>
          </w:p>
        </w:tc>
        <w:tc>
          <w:tcPr>
            <w:tcW w:w="3421" w:type="dxa"/>
            <w:tcBorders/>
            <w:vAlign w:val="center"/>
          </w:tcPr>
          <w:p>
            <w:pPr>
              <w:pStyle w:val="TableContents"/>
              <w:bidi w:val="0"/>
              <w:spacing w:before="0" w:after="283"/>
              <w:jc w:val="left"/>
              <w:rPr>
                <w:sz w:val="20"/>
              </w:rPr>
            </w:pPr>
            <w:r>
              <w:rPr>
                <w:sz w:val="20"/>
              </w:rPr>
              <w:t>Chris Witty</w:t>
            </w:r>
          </w:p>
        </w:tc>
      </w:tr>
      <w:tr>
        <w:trPr/>
        <w:tc>
          <w:tcPr>
            <w:tcW w:w="1606" w:type="dxa"/>
            <w:tcBorders/>
            <w:vAlign w:val="center"/>
          </w:tcPr>
          <w:p>
            <w:pPr>
              <w:pStyle w:val="TableContents"/>
              <w:bidi w:val="0"/>
              <w:spacing w:before="0" w:after="283"/>
              <w:jc w:val="left"/>
              <w:rPr>
                <w:sz w:val="20"/>
              </w:rPr>
            </w:pPr>
            <w:r>
              <w:rPr>
                <w:sz w:val="20"/>
              </w:rPr>
              <w:t>Investor Relations</w:t>
            </w:r>
          </w:p>
        </w:tc>
        <w:tc>
          <w:tcPr>
            <w:tcW w:w="3421" w:type="dxa"/>
            <w:tcBorders/>
            <w:vAlign w:val="center"/>
          </w:tcPr>
          <w:p>
            <w:pPr>
              <w:pStyle w:val="TableContents"/>
              <w:bidi w:val="0"/>
              <w:spacing w:before="0" w:after="283"/>
              <w:jc w:val="left"/>
              <w:rPr>
                <w:sz w:val="20"/>
              </w:rPr>
            </w:pPr>
            <w:r>
              <w:rPr>
                <w:sz w:val="20"/>
              </w:rPr>
              <w:t>Darrow Associates</w:t>
            </w:r>
          </w:p>
        </w:tc>
      </w:tr>
      <w:tr>
        <w:trPr/>
        <w:tc>
          <w:tcPr>
            <w:tcW w:w="1606" w:type="dxa"/>
            <w:tcBorders/>
            <w:vAlign w:val="center"/>
          </w:tcPr>
          <w:p>
            <w:pPr>
              <w:pStyle w:val="TableContents"/>
              <w:bidi w:val="0"/>
              <w:spacing w:before="0" w:after="283"/>
              <w:jc w:val="left"/>
              <w:rPr>
                <w:sz w:val="20"/>
              </w:rPr>
            </w:pPr>
            <w:r>
              <w:rPr>
                <w:sz w:val="20"/>
              </w:rPr>
              <w:t>203/328-7310 </w:t>
            </w:r>
          </w:p>
        </w:tc>
        <w:tc>
          <w:tcPr>
            <w:tcW w:w="3421" w:type="dxa"/>
            <w:tcBorders/>
            <w:vAlign w:val="center"/>
          </w:tcPr>
          <w:p>
            <w:pPr>
              <w:pStyle w:val="TableContents"/>
              <w:bidi w:val="0"/>
              <w:spacing w:before="0" w:after="283"/>
              <w:jc w:val="left"/>
              <w:rPr>
                <w:sz w:val="20"/>
              </w:rPr>
            </w:pPr>
            <w:r>
              <w:rPr>
                <w:sz w:val="20"/>
              </w:rPr>
              <w:t>646/438-9385 or cwitty@darrowir.com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1173</Words>
  <Characters>6792</Characters>
  <CharactersWithSpaces>7954</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